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18531C6" w14:textId="77777777" w:rsidR="000553D9" w:rsidRDefault="000553D9">
      <w:pPr>
        <w:pStyle w:val="Normal1"/>
        <w:pBdr>
          <w:top w:val="single" w:sz="4" w:space="1" w:color="auto"/>
        </w:pBdr>
      </w:pPr>
    </w:p>
    <w:p w14:paraId="2DD33F37" w14:textId="77777777" w:rsidR="000553D9" w:rsidRDefault="000553D9">
      <w:pPr>
        <w:pStyle w:val="Normal1"/>
      </w:pPr>
    </w:p>
    <w:p w14:paraId="1C2CE2FF" w14:textId="77777777" w:rsidR="000553D9" w:rsidRDefault="000553D9">
      <w:pPr>
        <w:pStyle w:val="Normal1"/>
      </w:pPr>
    </w:p>
    <w:p w14:paraId="010D0517" w14:textId="77777777" w:rsidR="000553D9" w:rsidRDefault="000553D9">
      <w:pPr>
        <w:pStyle w:val="Normal1"/>
      </w:pPr>
    </w:p>
    <w:p w14:paraId="6B88FC86" w14:textId="77777777" w:rsidR="000553D9" w:rsidRDefault="000553D9">
      <w:pPr>
        <w:pStyle w:val="Normal1"/>
      </w:pPr>
    </w:p>
    <w:p w14:paraId="014C913A" w14:textId="77777777" w:rsidR="000553D9" w:rsidRDefault="008D6059">
      <w:pPr>
        <w:pStyle w:val="Normal1"/>
        <w:jc w:val="center"/>
      </w:pPr>
      <w:r>
        <w:rPr>
          <w:b/>
          <w:sz w:val="28"/>
        </w:rPr>
        <w:t>Glendale Community College</w:t>
      </w:r>
    </w:p>
    <w:p w14:paraId="716C1657" w14:textId="77777777" w:rsidR="000553D9" w:rsidRDefault="000553D9">
      <w:pPr>
        <w:pStyle w:val="Normal1"/>
        <w:jc w:val="center"/>
      </w:pPr>
    </w:p>
    <w:p w14:paraId="5AA1F141" w14:textId="77777777" w:rsidR="000553D9" w:rsidRDefault="000553D9">
      <w:pPr>
        <w:pStyle w:val="Normal1"/>
        <w:jc w:val="center"/>
      </w:pPr>
    </w:p>
    <w:p w14:paraId="11B13457" w14:textId="77777777" w:rsidR="000553D9" w:rsidRDefault="000553D9">
      <w:pPr>
        <w:pStyle w:val="Normal1"/>
        <w:jc w:val="center"/>
      </w:pPr>
    </w:p>
    <w:p w14:paraId="5631AC65" w14:textId="77777777" w:rsidR="000553D9" w:rsidRDefault="000553D9">
      <w:pPr>
        <w:pStyle w:val="Normal1"/>
        <w:jc w:val="center"/>
      </w:pPr>
    </w:p>
    <w:p w14:paraId="4AAF80C6" w14:textId="77777777" w:rsidR="000553D9" w:rsidRDefault="008D6059">
      <w:pPr>
        <w:pStyle w:val="Normal1"/>
        <w:jc w:val="center"/>
      </w:pPr>
      <w:r>
        <w:rPr>
          <w:b/>
          <w:sz w:val="60"/>
        </w:rPr>
        <w:t>Midterm Report</w:t>
      </w:r>
    </w:p>
    <w:p w14:paraId="49EBFCDA" w14:textId="77777777" w:rsidR="000553D9" w:rsidRDefault="000553D9">
      <w:pPr>
        <w:pStyle w:val="Normal1"/>
        <w:jc w:val="center"/>
      </w:pPr>
    </w:p>
    <w:p w14:paraId="7D5017A0" w14:textId="77777777" w:rsidR="000553D9" w:rsidRDefault="000553D9">
      <w:pPr>
        <w:pStyle w:val="Normal1"/>
        <w:jc w:val="center"/>
      </w:pPr>
    </w:p>
    <w:p w14:paraId="04A74C91" w14:textId="77777777" w:rsidR="000553D9" w:rsidRDefault="000553D9">
      <w:pPr>
        <w:pStyle w:val="Normal1"/>
        <w:jc w:val="center"/>
      </w:pPr>
    </w:p>
    <w:p w14:paraId="2130F878" w14:textId="77777777" w:rsidR="000553D9" w:rsidRDefault="000553D9">
      <w:pPr>
        <w:pStyle w:val="Normal1"/>
        <w:jc w:val="center"/>
      </w:pPr>
    </w:p>
    <w:p w14:paraId="6EB8EA5C" w14:textId="77777777" w:rsidR="000553D9" w:rsidRDefault="000553D9">
      <w:pPr>
        <w:pStyle w:val="Normal1"/>
        <w:jc w:val="center"/>
      </w:pPr>
    </w:p>
    <w:p w14:paraId="4703B24C" w14:textId="77777777" w:rsidR="000553D9" w:rsidRDefault="000553D9">
      <w:pPr>
        <w:pStyle w:val="Normal1"/>
        <w:jc w:val="center"/>
      </w:pPr>
    </w:p>
    <w:p w14:paraId="73DBF695" w14:textId="77777777" w:rsidR="000553D9" w:rsidRDefault="000553D9">
      <w:pPr>
        <w:pStyle w:val="Normal1"/>
        <w:jc w:val="center"/>
      </w:pPr>
    </w:p>
    <w:p w14:paraId="588F9E53" w14:textId="77777777" w:rsidR="000553D9" w:rsidRDefault="000553D9">
      <w:pPr>
        <w:pStyle w:val="Normal1"/>
        <w:jc w:val="center"/>
      </w:pPr>
    </w:p>
    <w:p w14:paraId="18B9BB15" w14:textId="77777777" w:rsidR="000553D9" w:rsidRDefault="008D6059">
      <w:pPr>
        <w:pStyle w:val="Normal1"/>
        <w:jc w:val="center"/>
      </w:pPr>
      <w:r>
        <w:rPr>
          <w:i/>
        </w:rPr>
        <w:t>Submitted by:</w:t>
      </w:r>
    </w:p>
    <w:p w14:paraId="284AE1CF" w14:textId="77777777" w:rsidR="000553D9" w:rsidRDefault="000553D9">
      <w:pPr>
        <w:pStyle w:val="Normal1"/>
        <w:jc w:val="center"/>
      </w:pPr>
    </w:p>
    <w:p w14:paraId="5BC5791F" w14:textId="77777777" w:rsidR="000553D9" w:rsidRDefault="008D6059">
      <w:pPr>
        <w:pStyle w:val="Normal1"/>
        <w:jc w:val="center"/>
      </w:pPr>
      <w:r>
        <w:t>Glendale Community College</w:t>
      </w:r>
    </w:p>
    <w:p w14:paraId="41C47992" w14:textId="77777777" w:rsidR="000553D9" w:rsidRDefault="008D6059">
      <w:pPr>
        <w:pStyle w:val="Normal1"/>
        <w:jc w:val="center"/>
      </w:pPr>
      <w:r>
        <w:t>1500 North Verdugo Road</w:t>
      </w:r>
    </w:p>
    <w:p w14:paraId="2978B1AE" w14:textId="77777777" w:rsidR="000553D9" w:rsidRDefault="008D6059">
      <w:pPr>
        <w:pStyle w:val="Normal1"/>
        <w:jc w:val="center"/>
      </w:pPr>
      <w:r>
        <w:t>Glendale, California 91208</w:t>
      </w:r>
    </w:p>
    <w:p w14:paraId="1645194F" w14:textId="77777777" w:rsidR="000553D9" w:rsidRDefault="000553D9">
      <w:pPr>
        <w:pStyle w:val="Normal1"/>
        <w:jc w:val="center"/>
      </w:pPr>
    </w:p>
    <w:p w14:paraId="73E8AEE8" w14:textId="77777777" w:rsidR="000553D9" w:rsidRDefault="000553D9">
      <w:pPr>
        <w:pStyle w:val="Normal1"/>
        <w:jc w:val="center"/>
      </w:pPr>
    </w:p>
    <w:p w14:paraId="408AF7DD" w14:textId="77777777" w:rsidR="000553D9" w:rsidRDefault="000553D9">
      <w:pPr>
        <w:pStyle w:val="Normal1"/>
        <w:jc w:val="center"/>
      </w:pPr>
    </w:p>
    <w:p w14:paraId="2E539D3F" w14:textId="77777777" w:rsidR="000553D9" w:rsidRDefault="008D6059">
      <w:pPr>
        <w:pStyle w:val="Normal1"/>
        <w:jc w:val="center"/>
      </w:pPr>
      <w:r>
        <w:rPr>
          <w:i/>
        </w:rPr>
        <w:t>To:</w:t>
      </w:r>
    </w:p>
    <w:p w14:paraId="58C44A0F" w14:textId="77777777" w:rsidR="000553D9" w:rsidRDefault="000553D9">
      <w:pPr>
        <w:pStyle w:val="Normal1"/>
        <w:jc w:val="center"/>
      </w:pPr>
    </w:p>
    <w:p w14:paraId="7D5A08EC" w14:textId="77777777" w:rsidR="000553D9" w:rsidRDefault="008D6059">
      <w:pPr>
        <w:pStyle w:val="Normal1"/>
        <w:jc w:val="center"/>
      </w:pPr>
      <w:r>
        <w:t>Accrediting Commission for Community and Junior Colleges</w:t>
      </w:r>
    </w:p>
    <w:p w14:paraId="02154005" w14:textId="77777777" w:rsidR="000553D9" w:rsidRDefault="008D6059">
      <w:pPr>
        <w:pStyle w:val="Normal1"/>
        <w:jc w:val="center"/>
      </w:pPr>
      <w:r>
        <w:t>Western Association of Schools and Colleges</w:t>
      </w:r>
    </w:p>
    <w:p w14:paraId="0445C414" w14:textId="77777777" w:rsidR="000553D9" w:rsidRDefault="000553D9">
      <w:pPr>
        <w:pStyle w:val="Normal1"/>
        <w:jc w:val="center"/>
      </w:pPr>
    </w:p>
    <w:p w14:paraId="037FF8F5" w14:textId="77777777" w:rsidR="000553D9" w:rsidRDefault="000553D9">
      <w:pPr>
        <w:pStyle w:val="Normal1"/>
        <w:jc w:val="center"/>
      </w:pPr>
    </w:p>
    <w:p w14:paraId="5F7E7043" w14:textId="77777777" w:rsidR="000553D9" w:rsidRDefault="008D6059">
      <w:pPr>
        <w:pStyle w:val="Normal1"/>
        <w:jc w:val="center"/>
      </w:pPr>
      <w:r>
        <w:t>March 15, 2013</w:t>
      </w:r>
    </w:p>
    <w:p w14:paraId="10A59DCD" w14:textId="77777777" w:rsidR="000553D9" w:rsidRDefault="000553D9">
      <w:pPr>
        <w:pStyle w:val="Normal1"/>
      </w:pPr>
    </w:p>
    <w:p w14:paraId="3CA37DCA" w14:textId="77777777" w:rsidR="000553D9" w:rsidRDefault="000553D9">
      <w:pPr>
        <w:pStyle w:val="Normal1"/>
      </w:pPr>
    </w:p>
    <w:p w14:paraId="671D90B0" w14:textId="77777777" w:rsidR="000553D9" w:rsidRDefault="000553D9">
      <w:pPr>
        <w:pStyle w:val="Normal1"/>
      </w:pPr>
    </w:p>
    <w:p w14:paraId="744495C3" w14:textId="77777777" w:rsidR="000553D9" w:rsidRDefault="000553D9">
      <w:pPr>
        <w:pStyle w:val="Normal1"/>
      </w:pPr>
    </w:p>
    <w:p w14:paraId="06325447" w14:textId="77777777" w:rsidR="000553D9" w:rsidRDefault="000553D9">
      <w:pPr>
        <w:pStyle w:val="Normal1"/>
      </w:pPr>
    </w:p>
    <w:p w14:paraId="53D7D3C6" w14:textId="77777777" w:rsidR="000553D9" w:rsidRDefault="000553D9">
      <w:pPr>
        <w:pStyle w:val="Normal1"/>
      </w:pPr>
    </w:p>
    <w:p w14:paraId="19E444AC" w14:textId="77777777" w:rsidR="000553D9" w:rsidRDefault="000553D9">
      <w:pPr>
        <w:pStyle w:val="Normal1"/>
      </w:pPr>
    </w:p>
    <w:p w14:paraId="652B49FB" w14:textId="2BA99D6B" w:rsidR="00F3002E" w:rsidRDefault="00CA3310" w:rsidP="00F3002E">
      <w:pPr>
        <w:pStyle w:val="Normal1"/>
        <w:sectPr w:rsidR="00F3002E">
          <w:footerReference w:type="default" r:id="rId8"/>
          <w:pgSz w:w="12240" w:h="15840"/>
          <w:pgMar w:top="1440" w:right="1800" w:bottom="1440" w:left="1800" w:header="720" w:footer="720" w:gutter="0"/>
          <w:cols w:space="720"/>
        </w:sectPr>
      </w:pPr>
      <w:bookmarkStart w:id="0" w:name="h.ymfguhw7gbq3" w:colFirst="0" w:colLast="0"/>
      <w:bookmarkEnd w:id="0"/>
      <w:r>
        <w:t>_____________________________________________________________________</w:t>
      </w:r>
    </w:p>
    <w:p w14:paraId="3A671DDE" w14:textId="5AC43BDD" w:rsidR="00EB4B49" w:rsidRDefault="00EB4B49">
      <w:pPr>
        <w:pStyle w:val="Heading3"/>
      </w:pPr>
      <w:r>
        <w:rPr>
          <w:noProof/>
          <w:lang w:eastAsia="en-US"/>
        </w:rPr>
        <w:lastRenderedPageBreak/>
        <w:drawing>
          <wp:inline distT="0" distB="0" distL="0" distR="0" wp14:anchorId="199986DD" wp14:editId="3A0BA0BF">
            <wp:extent cx="6362700" cy="831537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587" cy="8325684"/>
                    </a:xfrm>
                    <a:prstGeom prst="rect">
                      <a:avLst/>
                    </a:prstGeom>
                    <a:noFill/>
                    <a:ln>
                      <a:noFill/>
                    </a:ln>
                  </pic:spPr>
                </pic:pic>
              </a:graphicData>
            </a:graphic>
          </wp:inline>
        </w:drawing>
      </w:r>
    </w:p>
    <w:p w14:paraId="37C7B4F1" w14:textId="7F373735" w:rsidR="00EF0A30" w:rsidRDefault="00EF0A30">
      <w:pPr>
        <w:rPr>
          <w:rFonts w:ascii="Arial" w:eastAsia="Arial" w:hAnsi="Arial" w:cs="Arial"/>
          <w:b/>
          <w:color w:val="000000"/>
          <w:sz w:val="36"/>
        </w:rPr>
      </w:pPr>
      <w:bookmarkStart w:id="1" w:name="h.uf288231zt0r" w:colFirst="0" w:colLast="0"/>
      <w:bookmarkEnd w:id="1"/>
    </w:p>
    <w:p w14:paraId="6DD169F3" w14:textId="4F457C8B" w:rsidR="000553D9" w:rsidRDefault="008D6059">
      <w:pPr>
        <w:pStyle w:val="Heading3"/>
      </w:pPr>
      <w:r>
        <w:t>Table of Contents</w:t>
      </w:r>
    </w:p>
    <w:p w14:paraId="15DA860B" w14:textId="77777777" w:rsidR="000553D9" w:rsidRDefault="000553D9">
      <w:pPr>
        <w:pStyle w:val="Normal1"/>
      </w:pPr>
    </w:p>
    <w:p w14:paraId="7B5503B9" w14:textId="77777777" w:rsidR="000553D9" w:rsidRDefault="000553D9">
      <w:pPr>
        <w:pStyle w:val="Normal1"/>
      </w:pPr>
    </w:p>
    <w:p w14:paraId="077CC519" w14:textId="3C164025" w:rsidR="000553D9" w:rsidRDefault="008D6059">
      <w:pPr>
        <w:pStyle w:val="Normal1"/>
        <w:tabs>
          <w:tab w:val="right" w:pos="8460"/>
        </w:tabs>
      </w:pPr>
      <w:r>
        <w:t>Certification.........................</w:t>
      </w:r>
      <w:r w:rsidR="00BB3261">
        <w:t>...............................</w:t>
      </w:r>
      <w:r>
        <w:t>...............................................................2</w:t>
      </w:r>
    </w:p>
    <w:p w14:paraId="58A21158" w14:textId="77777777" w:rsidR="000553D9" w:rsidRDefault="000553D9">
      <w:pPr>
        <w:pStyle w:val="Normal1"/>
        <w:tabs>
          <w:tab w:val="right" w:pos="8460"/>
        </w:tabs>
      </w:pPr>
    </w:p>
    <w:p w14:paraId="5C803ED3" w14:textId="05181CDE" w:rsidR="000553D9" w:rsidRDefault="008D6059">
      <w:pPr>
        <w:pStyle w:val="Normal1"/>
        <w:tabs>
          <w:tab w:val="right" w:pos="8460"/>
        </w:tabs>
      </w:pPr>
      <w:r>
        <w:t>Table of Contents.................................</w:t>
      </w:r>
      <w:r w:rsidR="00BB3261">
        <w:t>...............................</w:t>
      </w:r>
      <w:r>
        <w:t>..............................................3</w:t>
      </w:r>
    </w:p>
    <w:p w14:paraId="3EF70709" w14:textId="77777777" w:rsidR="000553D9" w:rsidRDefault="000553D9">
      <w:pPr>
        <w:pStyle w:val="Normal1"/>
        <w:tabs>
          <w:tab w:val="right" w:pos="8460"/>
        </w:tabs>
      </w:pPr>
    </w:p>
    <w:p w14:paraId="25D5AAB4" w14:textId="7FF4DCDC" w:rsidR="000553D9" w:rsidRDefault="008D6059">
      <w:pPr>
        <w:pStyle w:val="Normal1"/>
        <w:tabs>
          <w:tab w:val="right" w:pos="8460"/>
        </w:tabs>
      </w:pPr>
      <w:r>
        <w:t>Report Preparation.................................</w:t>
      </w:r>
      <w:r w:rsidR="00BB3261">
        <w:t>...............................</w:t>
      </w:r>
      <w:r>
        <w:t>............................................4</w:t>
      </w:r>
    </w:p>
    <w:p w14:paraId="11028B58" w14:textId="77777777" w:rsidR="000553D9" w:rsidRDefault="000553D9">
      <w:pPr>
        <w:pStyle w:val="Normal1"/>
        <w:tabs>
          <w:tab w:val="right" w:pos="8460"/>
        </w:tabs>
      </w:pPr>
    </w:p>
    <w:p w14:paraId="29A85B2E" w14:textId="0CE4D3F1" w:rsidR="000553D9" w:rsidRDefault="008D6059">
      <w:pPr>
        <w:pStyle w:val="Normal1"/>
        <w:tabs>
          <w:tab w:val="right" w:pos="8460"/>
        </w:tabs>
      </w:pPr>
      <w:r>
        <w:t>Response to Team Recommendations and the Commissi</w:t>
      </w:r>
      <w:r w:rsidR="00BB3261">
        <w:t>on Action Letter..............</w:t>
      </w:r>
      <w:r w:rsidR="00445B6D">
        <w:t>.</w:t>
      </w:r>
      <w:r w:rsidR="00BB3261">
        <w:t>.</w:t>
      </w:r>
      <w:r>
        <w:t>......5</w:t>
      </w:r>
    </w:p>
    <w:p w14:paraId="3ABEADA2" w14:textId="77777777" w:rsidR="000553D9" w:rsidRDefault="000553D9">
      <w:pPr>
        <w:pStyle w:val="Normal1"/>
        <w:tabs>
          <w:tab w:val="left" w:pos="1440"/>
        </w:tabs>
      </w:pPr>
    </w:p>
    <w:p w14:paraId="4017E2FD" w14:textId="4E637B9C" w:rsidR="000553D9" w:rsidRDefault="008D6059">
      <w:pPr>
        <w:pStyle w:val="Normal1"/>
        <w:tabs>
          <w:tab w:val="left" w:pos="1440"/>
        </w:tabs>
      </w:pPr>
      <w:r>
        <w:tab/>
        <w:t>Recommendation 1............................</w:t>
      </w:r>
      <w:r w:rsidR="00BB3261">
        <w:t>...............................</w:t>
      </w:r>
      <w:r>
        <w:t>.........................5</w:t>
      </w:r>
    </w:p>
    <w:p w14:paraId="6F6BD428" w14:textId="77777777" w:rsidR="000553D9" w:rsidRDefault="000553D9">
      <w:pPr>
        <w:pStyle w:val="Normal1"/>
        <w:tabs>
          <w:tab w:val="left" w:pos="1440"/>
        </w:tabs>
      </w:pPr>
    </w:p>
    <w:p w14:paraId="16B6F0FA" w14:textId="19B0A532" w:rsidR="000553D9" w:rsidRDefault="008D6059">
      <w:pPr>
        <w:pStyle w:val="Normal1"/>
        <w:tabs>
          <w:tab w:val="left" w:pos="1440"/>
        </w:tabs>
      </w:pPr>
      <w:r>
        <w:tab/>
        <w:t>Recommendation 2.......................................</w:t>
      </w:r>
      <w:r w:rsidR="00BB3261">
        <w:t>.........................</w:t>
      </w:r>
      <w:r>
        <w:t>..................16</w:t>
      </w:r>
    </w:p>
    <w:p w14:paraId="034776C6" w14:textId="77777777" w:rsidR="000553D9" w:rsidRDefault="000553D9">
      <w:pPr>
        <w:pStyle w:val="Normal1"/>
        <w:tabs>
          <w:tab w:val="left" w:pos="1440"/>
        </w:tabs>
      </w:pPr>
    </w:p>
    <w:p w14:paraId="67A43623" w14:textId="2576CEE2" w:rsidR="000553D9" w:rsidRDefault="008D6059">
      <w:pPr>
        <w:pStyle w:val="Normal1"/>
        <w:tabs>
          <w:tab w:val="left" w:pos="1440"/>
        </w:tabs>
      </w:pPr>
      <w:r>
        <w:tab/>
        <w:t>Recommendation 3................................</w:t>
      </w:r>
      <w:r w:rsidR="00BB3261">
        <w:t>...............................</w:t>
      </w:r>
      <w:r>
        <w:t>...................22</w:t>
      </w:r>
    </w:p>
    <w:p w14:paraId="21BDBD01" w14:textId="77777777" w:rsidR="000553D9" w:rsidRDefault="000553D9">
      <w:pPr>
        <w:pStyle w:val="Normal1"/>
        <w:tabs>
          <w:tab w:val="left" w:pos="1440"/>
        </w:tabs>
      </w:pPr>
    </w:p>
    <w:p w14:paraId="07088324" w14:textId="3B9D34A3" w:rsidR="000553D9" w:rsidRDefault="008D6059">
      <w:pPr>
        <w:pStyle w:val="Normal1"/>
        <w:tabs>
          <w:tab w:val="left" w:pos="1440"/>
        </w:tabs>
      </w:pPr>
      <w:r>
        <w:tab/>
        <w:t>Recommendation 4..................................</w:t>
      </w:r>
      <w:r w:rsidR="00BB3261">
        <w:t>...............................</w:t>
      </w:r>
      <w:r>
        <w:t>.................23</w:t>
      </w:r>
    </w:p>
    <w:p w14:paraId="6C9BC342" w14:textId="77777777" w:rsidR="000553D9" w:rsidRDefault="000553D9">
      <w:pPr>
        <w:pStyle w:val="Normal1"/>
        <w:tabs>
          <w:tab w:val="left" w:pos="1440"/>
        </w:tabs>
      </w:pPr>
    </w:p>
    <w:p w14:paraId="2E9EAA3F" w14:textId="6E2C5728" w:rsidR="000553D9" w:rsidRDefault="008D6059">
      <w:pPr>
        <w:pStyle w:val="Normal1"/>
        <w:tabs>
          <w:tab w:val="left" w:pos="1440"/>
        </w:tabs>
      </w:pPr>
      <w:r>
        <w:tab/>
        <w:t>Recommendation 5....................................</w:t>
      </w:r>
      <w:r w:rsidR="00BB3261">
        <w:t>...............................</w:t>
      </w:r>
      <w:r w:rsidR="00155F38">
        <w:t>...............28</w:t>
      </w:r>
    </w:p>
    <w:p w14:paraId="17F602B0" w14:textId="77777777" w:rsidR="000553D9" w:rsidRDefault="000553D9">
      <w:pPr>
        <w:pStyle w:val="Normal1"/>
        <w:tabs>
          <w:tab w:val="left" w:pos="1440"/>
        </w:tabs>
      </w:pPr>
    </w:p>
    <w:p w14:paraId="53D1DE92" w14:textId="676FE2D2" w:rsidR="000553D9" w:rsidRDefault="008D6059">
      <w:pPr>
        <w:pStyle w:val="Normal1"/>
        <w:tabs>
          <w:tab w:val="left" w:pos="1440"/>
        </w:tabs>
      </w:pPr>
      <w:r>
        <w:tab/>
        <w:t>Recommendation 6.......................................</w:t>
      </w:r>
      <w:r w:rsidR="00BB3261">
        <w:t>...............................</w:t>
      </w:r>
      <w:r w:rsidR="00155F38">
        <w:t>............29</w:t>
      </w:r>
    </w:p>
    <w:p w14:paraId="35546F91" w14:textId="77777777" w:rsidR="000553D9" w:rsidRDefault="000553D9">
      <w:pPr>
        <w:pStyle w:val="Normal1"/>
        <w:tabs>
          <w:tab w:val="left" w:pos="1440"/>
        </w:tabs>
      </w:pPr>
    </w:p>
    <w:p w14:paraId="0348D011" w14:textId="7E9F4D6C" w:rsidR="000553D9" w:rsidRDefault="008D6059">
      <w:pPr>
        <w:pStyle w:val="Normal1"/>
        <w:tabs>
          <w:tab w:val="left" w:pos="1440"/>
        </w:tabs>
      </w:pPr>
      <w:r>
        <w:tab/>
        <w:t>Recommendation 7.......................................</w:t>
      </w:r>
      <w:r w:rsidR="00BB3261">
        <w:t>...............................</w:t>
      </w:r>
      <w:r w:rsidR="00155F38">
        <w:t>............31</w:t>
      </w:r>
    </w:p>
    <w:p w14:paraId="1B62CD1B" w14:textId="77777777" w:rsidR="000553D9" w:rsidRDefault="000553D9">
      <w:pPr>
        <w:pStyle w:val="Normal1"/>
        <w:tabs>
          <w:tab w:val="left" w:pos="1440"/>
        </w:tabs>
      </w:pPr>
    </w:p>
    <w:p w14:paraId="38634FBD" w14:textId="42B54CFC" w:rsidR="000553D9" w:rsidRDefault="008D6059">
      <w:pPr>
        <w:pStyle w:val="Normal1"/>
        <w:tabs>
          <w:tab w:val="left" w:pos="1440"/>
        </w:tabs>
      </w:pPr>
      <w:r>
        <w:tab/>
        <w:t>Recommendation 8.........................................</w:t>
      </w:r>
      <w:r w:rsidR="00BB3261">
        <w:t>...............................</w:t>
      </w:r>
      <w:r w:rsidR="00155F38">
        <w:t>..........33</w:t>
      </w:r>
    </w:p>
    <w:p w14:paraId="54F6E8B7" w14:textId="77777777" w:rsidR="000553D9" w:rsidRDefault="000553D9">
      <w:pPr>
        <w:pStyle w:val="Normal1"/>
        <w:tabs>
          <w:tab w:val="left" w:pos="1440"/>
        </w:tabs>
      </w:pPr>
    </w:p>
    <w:p w14:paraId="1F4A9344" w14:textId="4353D822" w:rsidR="000553D9" w:rsidRDefault="008D6059">
      <w:pPr>
        <w:pStyle w:val="Normal1"/>
        <w:tabs>
          <w:tab w:val="left" w:pos="1440"/>
        </w:tabs>
      </w:pPr>
      <w:r>
        <w:tab/>
        <w:t>Recommendation 9.........................................</w:t>
      </w:r>
      <w:r w:rsidR="00BB3261">
        <w:t>...............................</w:t>
      </w:r>
      <w:r w:rsidR="00F8065C">
        <w:t>..........36</w:t>
      </w:r>
    </w:p>
    <w:p w14:paraId="3114C096" w14:textId="77777777" w:rsidR="000553D9" w:rsidRDefault="000553D9">
      <w:pPr>
        <w:pStyle w:val="Normal1"/>
        <w:tabs>
          <w:tab w:val="left" w:pos="1440"/>
        </w:tabs>
      </w:pPr>
    </w:p>
    <w:p w14:paraId="042D0400" w14:textId="2D8866CF" w:rsidR="000553D9" w:rsidRDefault="008D6059">
      <w:pPr>
        <w:pStyle w:val="Normal1"/>
        <w:tabs>
          <w:tab w:val="left" w:pos="1440"/>
        </w:tabs>
      </w:pPr>
      <w:r>
        <w:t>Substantive Change Reporting Updates</w:t>
      </w:r>
      <w:r w:rsidRPr="0004430E">
        <w:t>..............................</w:t>
      </w:r>
      <w:r w:rsidR="00BB3261" w:rsidRPr="0004430E">
        <w:t>...............................</w:t>
      </w:r>
      <w:r w:rsidR="00BD34F7">
        <w:t>...........</w:t>
      </w:r>
      <w:r w:rsidRPr="0004430E">
        <w:t>.</w:t>
      </w:r>
      <w:r w:rsidR="00873777">
        <w:t>37</w:t>
      </w:r>
    </w:p>
    <w:p w14:paraId="4DFF2EBE" w14:textId="77777777" w:rsidR="000553D9" w:rsidRDefault="000553D9">
      <w:pPr>
        <w:pStyle w:val="Normal1"/>
        <w:tabs>
          <w:tab w:val="left" w:pos="1440"/>
        </w:tabs>
      </w:pPr>
    </w:p>
    <w:p w14:paraId="51B11872" w14:textId="7D559EF1" w:rsidR="000553D9" w:rsidRDefault="008D6059">
      <w:pPr>
        <w:pStyle w:val="Normal1"/>
        <w:tabs>
          <w:tab w:val="left" w:pos="1440"/>
        </w:tabs>
      </w:pPr>
      <w:r>
        <w:t>Appendix: Evidence.....................................</w:t>
      </w:r>
      <w:r w:rsidR="00BB3261">
        <w:t>...............................</w:t>
      </w:r>
      <w:r>
        <w:t>......</w:t>
      </w:r>
      <w:r w:rsidR="00BD34F7">
        <w:t>..............................</w:t>
      </w:r>
      <w:r>
        <w:t>.</w:t>
      </w:r>
      <w:r w:rsidR="00215291">
        <w:t>38</w:t>
      </w:r>
    </w:p>
    <w:p w14:paraId="6837F1B2" w14:textId="77777777" w:rsidR="00BD34F7" w:rsidRDefault="00BD34F7">
      <w:pPr>
        <w:pStyle w:val="Normal1"/>
        <w:tabs>
          <w:tab w:val="left" w:pos="1440"/>
        </w:tabs>
      </w:pPr>
    </w:p>
    <w:p w14:paraId="4730426A" w14:textId="608B68D7" w:rsidR="00BD34F7" w:rsidRDefault="00BD34F7" w:rsidP="00BD34F7">
      <w:pPr>
        <w:pStyle w:val="Normal1"/>
        <w:tabs>
          <w:tab w:val="left" w:pos="1440"/>
        </w:tabs>
      </w:pPr>
      <w:r>
        <w:t>Response to Self-Identified Issues.................................................................................</w:t>
      </w:r>
      <w:r w:rsidR="00215291">
        <w:t>.41</w:t>
      </w:r>
    </w:p>
    <w:p w14:paraId="136CCD43" w14:textId="500B4B1F" w:rsidR="00245D08" w:rsidRPr="00245D08" w:rsidRDefault="00245D08" w:rsidP="00BD34F7">
      <w:pPr>
        <w:pStyle w:val="Normal1"/>
        <w:tabs>
          <w:tab w:val="left" w:pos="1440"/>
        </w:tabs>
        <w:rPr>
          <w:i/>
        </w:rPr>
      </w:pPr>
      <w:r w:rsidRPr="00245D08">
        <w:rPr>
          <w:i/>
        </w:rPr>
        <w:t>(Note: The response to self-identified issues is a separate electronic document)</w:t>
      </w:r>
    </w:p>
    <w:p w14:paraId="454019F2" w14:textId="77777777" w:rsidR="00BD34F7" w:rsidRDefault="00BD34F7">
      <w:pPr>
        <w:pStyle w:val="Normal1"/>
        <w:tabs>
          <w:tab w:val="left" w:pos="1440"/>
        </w:tabs>
      </w:pPr>
    </w:p>
    <w:p w14:paraId="1203BD0F" w14:textId="77777777" w:rsidR="000553D9" w:rsidRDefault="000553D9">
      <w:pPr>
        <w:pStyle w:val="Normal1"/>
        <w:tabs>
          <w:tab w:val="left" w:pos="1440"/>
        </w:tabs>
      </w:pPr>
    </w:p>
    <w:p w14:paraId="3478B4A7" w14:textId="77777777" w:rsidR="000553D9" w:rsidRDefault="000553D9">
      <w:pPr>
        <w:pStyle w:val="Normal1"/>
        <w:tabs>
          <w:tab w:val="left" w:pos="1440"/>
        </w:tabs>
      </w:pPr>
    </w:p>
    <w:p w14:paraId="15B73A18" w14:textId="77777777" w:rsidR="000553D9" w:rsidRDefault="000553D9">
      <w:pPr>
        <w:pStyle w:val="Normal1"/>
        <w:tabs>
          <w:tab w:val="left" w:pos="1440"/>
        </w:tabs>
      </w:pPr>
    </w:p>
    <w:p w14:paraId="313C72E0" w14:textId="77777777" w:rsidR="000553D9" w:rsidRDefault="000553D9">
      <w:pPr>
        <w:pStyle w:val="Normal1"/>
        <w:tabs>
          <w:tab w:val="left" w:pos="1440"/>
        </w:tabs>
      </w:pPr>
    </w:p>
    <w:p w14:paraId="770FD224" w14:textId="77777777" w:rsidR="000553D9" w:rsidRDefault="000553D9">
      <w:pPr>
        <w:pStyle w:val="Normal1"/>
        <w:tabs>
          <w:tab w:val="left" w:pos="1440"/>
        </w:tabs>
      </w:pPr>
    </w:p>
    <w:p w14:paraId="34FD95F5" w14:textId="77777777" w:rsidR="000553D9" w:rsidRDefault="008D6059">
      <w:pPr>
        <w:pStyle w:val="Normal1"/>
      </w:pPr>
      <w:r>
        <w:br w:type="page"/>
      </w:r>
    </w:p>
    <w:p w14:paraId="7F6E9A9D" w14:textId="77777777" w:rsidR="000553D9" w:rsidRDefault="000553D9">
      <w:pPr>
        <w:pStyle w:val="Normal1"/>
        <w:tabs>
          <w:tab w:val="left" w:pos="1440"/>
        </w:tabs>
      </w:pPr>
    </w:p>
    <w:p w14:paraId="512E653B" w14:textId="77777777" w:rsidR="000553D9" w:rsidRDefault="008D6059">
      <w:pPr>
        <w:pStyle w:val="Heading3"/>
        <w:tabs>
          <w:tab w:val="left" w:pos="1440"/>
        </w:tabs>
      </w:pPr>
      <w:bookmarkStart w:id="2" w:name="h.oxrqxztg14ny" w:colFirst="0" w:colLast="0"/>
      <w:bookmarkEnd w:id="2"/>
      <w:r>
        <w:t>Report Preparation</w:t>
      </w:r>
    </w:p>
    <w:p w14:paraId="7BEE6D5C" w14:textId="77777777" w:rsidR="000553D9" w:rsidRDefault="000553D9">
      <w:pPr>
        <w:pStyle w:val="Normal1"/>
        <w:tabs>
          <w:tab w:val="left" w:pos="1440"/>
        </w:tabs>
      </w:pPr>
    </w:p>
    <w:p w14:paraId="04E655F7" w14:textId="77777777" w:rsidR="000553D9" w:rsidRDefault="008D6059">
      <w:pPr>
        <w:pStyle w:val="Normal1"/>
        <w:tabs>
          <w:tab w:val="left" w:pos="1440"/>
        </w:tabs>
      </w:pPr>
      <w:r>
        <w:t>The preparation of the Midterm Report was part of a process that began with the 2010 comprehensive accreditation visit and continued with the College’s Follow-Up Reports sent to the Commission in March 2011 and March 2012. The 2010 team report included nine recommendations. The 2011 Follow-Up Report addressed all nine recommendations and the 2012 Follow-Up Report addressed the four outstanding recommendations highlighted by the 2011 Commission action letter, which also informed the College that warning status had been removed.</w:t>
      </w:r>
    </w:p>
    <w:p w14:paraId="137C9BCE" w14:textId="77777777" w:rsidR="000553D9" w:rsidRDefault="000553D9">
      <w:pPr>
        <w:pStyle w:val="Normal1"/>
        <w:tabs>
          <w:tab w:val="left" w:pos="1440"/>
        </w:tabs>
      </w:pPr>
    </w:p>
    <w:p w14:paraId="2E71F4B8" w14:textId="77777777" w:rsidR="000553D9" w:rsidRDefault="008D6059">
      <w:pPr>
        <w:pStyle w:val="Normal1"/>
        <w:tabs>
          <w:tab w:val="left" w:pos="1440"/>
        </w:tabs>
      </w:pPr>
      <w:r>
        <w:t>The Midterm Report, like the previous Follow-Up Reports, was coordinated by the Institutional Planning Coordination Committee (IPCC)</w:t>
      </w:r>
      <w:proofErr w:type="gramStart"/>
      <w:r>
        <w:t>,</w:t>
      </w:r>
      <w:proofErr w:type="gramEnd"/>
      <w:r>
        <w:t xml:space="preserve"> a governance committee responsible for coordinating the College’s planning efforts. The committee assigned the responsibility of writing first drafts responding to the nine recommendations to six of its members. First drafts were due in September 2012. The report was first read and discussed by the Board of Trustees at its regular meeting on January 14, 2013. The Board approved the report at its regular meeting on February 25, 2013.</w:t>
      </w:r>
    </w:p>
    <w:p w14:paraId="64C60A3D" w14:textId="77777777" w:rsidR="000553D9" w:rsidRDefault="000553D9">
      <w:pPr>
        <w:pStyle w:val="Normal1"/>
        <w:tabs>
          <w:tab w:val="left" w:pos="1440"/>
        </w:tabs>
      </w:pPr>
    </w:p>
    <w:p w14:paraId="1C83A65F" w14:textId="77777777" w:rsidR="000553D9" w:rsidRDefault="008D6059">
      <w:pPr>
        <w:pStyle w:val="Normal1"/>
        <w:tabs>
          <w:tab w:val="left" w:pos="1440"/>
        </w:tabs>
      </w:pPr>
      <w:r>
        <w:t>The list below shows the individuals who were involved in preparing and reviewing the Midterm Report.</w:t>
      </w:r>
    </w:p>
    <w:p w14:paraId="019246AF" w14:textId="77777777" w:rsidR="000553D9" w:rsidRDefault="000553D9">
      <w:pPr>
        <w:pStyle w:val="Normal1"/>
        <w:tabs>
          <w:tab w:val="left" w:pos="1440"/>
        </w:tabs>
      </w:pPr>
    </w:p>
    <w:p w14:paraId="63AE5594" w14:textId="77777777" w:rsidR="000553D9" w:rsidRDefault="008D6059">
      <w:pPr>
        <w:pStyle w:val="Normal1"/>
        <w:tabs>
          <w:tab w:val="left" w:pos="720"/>
        </w:tabs>
        <w:ind w:left="720"/>
      </w:pPr>
      <w:r>
        <w:t>Michael Scott (Senate President), Isabelle Saber (Guild President), Margaret Mansour (Mental Health Counselor, Garfield Campus), Monette Tiernan (Faculty Program Review Coordinator), Trudi Abram (Art History Faculty), Yvette Ybarra (Faculty SLO Coordinator), David Yamamoto (Faculty SLO Database Coordinator), Sarah McLemore (Faculty Co-Chair of Curriculum and Instruction Committee), Kathy Bakhit (Associate Dean of Curriculum Management), Saodat Aziskhanova (CSEA), Hoover Zariani (CSEA President), Ron Nakasone (Executive Vice President of Administrative Services), Ricardo Perez (Vice President of Student Services), Mary Mirch (Vice President of Instructional Services), Donna Voogt (Administrative Dean of Human Resources), Wayne Keller (Associate Vice President of Information Technology), Edward Karpp (Dean of Research, Planning, and Grants), Alfred Ramirez (Interim Administrative Dean of Continuing and Community Education), Deborah Kinley (Interim Associate Dean of Continuing and Community Education), Jill Lewis (Program Manager, Accreditation and Program Review), Vahe Sargsyan (Associated Students, 2012-2013), Daniela Contreras (Associated Students, 2012-2013)</w:t>
      </w:r>
    </w:p>
    <w:p w14:paraId="3215FCD6" w14:textId="77777777" w:rsidR="000553D9" w:rsidRDefault="000553D9">
      <w:pPr>
        <w:pStyle w:val="Normal1"/>
        <w:tabs>
          <w:tab w:val="left" w:pos="1440"/>
        </w:tabs>
      </w:pPr>
    </w:p>
    <w:p w14:paraId="10917C88" w14:textId="77777777" w:rsidR="000553D9" w:rsidRDefault="008D6059">
      <w:pPr>
        <w:pStyle w:val="Normal1"/>
      </w:pPr>
      <w:r>
        <w:br w:type="page"/>
      </w:r>
    </w:p>
    <w:p w14:paraId="38631844" w14:textId="77777777" w:rsidR="000553D9" w:rsidRDefault="000553D9">
      <w:pPr>
        <w:pStyle w:val="Normal1"/>
      </w:pPr>
    </w:p>
    <w:p w14:paraId="4CA6BEA5" w14:textId="77777777" w:rsidR="000553D9" w:rsidRDefault="008D6059">
      <w:pPr>
        <w:pStyle w:val="Heading3"/>
      </w:pPr>
      <w:r>
        <w:t>Response to Team Recommendations</w:t>
      </w:r>
    </w:p>
    <w:p w14:paraId="33ECA6E5" w14:textId="77777777" w:rsidR="000553D9" w:rsidRDefault="008D6059">
      <w:pPr>
        <w:pStyle w:val="Heading3"/>
      </w:pPr>
      <w:bookmarkStart w:id="3" w:name="h.vi9h5qe1iw3p" w:colFirst="0" w:colLast="0"/>
      <w:bookmarkEnd w:id="3"/>
      <w:proofErr w:type="gramStart"/>
      <w:r>
        <w:t>and</w:t>
      </w:r>
      <w:proofErr w:type="gramEnd"/>
      <w:r>
        <w:t xml:space="preserve"> the Commission Action Letter</w:t>
      </w:r>
    </w:p>
    <w:p w14:paraId="18CB68B3" w14:textId="77777777" w:rsidR="000553D9" w:rsidRDefault="000553D9">
      <w:pPr>
        <w:pStyle w:val="Normal1"/>
      </w:pPr>
    </w:p>
    <w:p w14:paraId="4E7C55C5" w14:textId="77777777" w:rsidR="000553D9" w:rsidRDefault="000553D9">
      <w:pPr>
        <w:pStyle w:val="Normal1"/>
      </w:pPr>
    </w:p>
    <w:p w14:paraId="12F34FFE" w14:textId="77777777" w:rsidR="000553D9" w:rsidRDefault="008D6059">
      <w:pPr>
        <w:pStyle w:val="Normal1"/>
      </w:pPr>
      <w:r>
        <w:t>The following sections show the College’s responses to the nine team recommendations from 2010.</w:t>
      </w:r>
    </w:p>
    <w:p w14:paraId="1B508C8E" w14:textId="77777777" w:rsidR="000553D9" w:rsidRDefault="000553D9">
      <w:pPr>
        <w:pStyle w:val="Normal1"/>
      </w:pPr>
    </w:p>
    <w:p w14:paraId="7C2CEFC9" w14:textId="77777777" w:rsidR="000553D9" w:rsidRDefault="008D6059">
      <w:pPr>
        <w:pStyle w:val="Heading4"/>
      </w:pPr>
      <w:bookmarkStart w:id="4" w:name="h.xyz8won4be0w" w:colFirst="0" w:colLast="0"/>
      <w:bookmarkEnd w:id="4"/>
      <w:r>
        <w:t>Response to Recommendation 1</w:t>
      </w:r>
    </w:p>
    <w:p w14:paraId="62F7E7CE" w14:textId="77777777" w:rsidR="000553D9" w:rsidRDefault="000553D9">
      <w:pPr>
        <w:pStyle w:val="Normal1"/>
        <w:spacing w:line="240" w:lineRule="auto"/>
      </w:pPr>
    </w:p>
    <w:p w14:paraId="5B84B85B" w14:textId="77777777" w:rsidR="000553D9" w:rsidRDefault="008D6059">
      <w:pPr>
        <w:pStyle w:val="Normal1"/>
      </w:pPr>
      <w:proofErr w:type="gramStart"/>
      <w:r>
        <w:rPr>
          <w:b/>
          <w:i/>
        </w:rPr>
        <w:t>Recommendation 1.</w:t>
      </w:r>
      <w:proofErr w:type="gramEnd"/>
      <w:r>
        <w:rPr>
          <w:b/>
          <w:i/>
        </w:rPr>
        <w:t xml:space="preserve"> </w:t>
      </w:r>
      <w:r>
        <w:rPr>
          <w:i/>
        </w:rPr>
        <w:t>Building on a recommendation made by the 2004 evaluation team, the team recommends that the college strengthen the linkages among the program review, planning and resource allocation processes in order to:</w:t>
      </w:r>
    </w:p>
    <w:p w14:paraId="0DA151D4" w14:textId="77777777" w:rsidR="000553D9" w:rsidRDefault="000553D9">
      <w:pPr>
        <w:pStyle w:val="Normal1"/>
      </w:pPr>
    </w:p>
    <w:p w14:paraId="00CCF288" w14:textId="77777777" w:rsidR="000553D9" w:rsidRDefault="008D6059">
      <w:pPr>
        <w:pStyle w:val="Normal1"/>
        <w:numPr>
          <w:ilvl w:val="0"/>
          <w:numId w:val="9"/>
        </w:numPr>
        <w:tabs>
          <w:tab w:val="left" w:pos="720"/>
        </w:tabs>
        <w:spacing w:line="240" w:lineRule="auto"/>
        <w:ind w:hanging="359"/>
      </w:pPr>
      <w:r>
        <w:rPr>
          <w:i/>
        </w:rPr>
        <w:t>Establish and publish a clear timeline and specific outcomes for the integration of  the planning processes;</w:t>
      </w:r>
    </w:p>
    <w:p w14:paraId="51810DF1" w14:textId="77777777" w:rsidR="000553D9" w:rsidRDefault="008D6059">
      <w:pPr>
        <w:pStyle w:val="Normal1"/>
        <w:numPr>
          <w:ilvl w:val="0"/>
          <w:numId w:val="9"/>
        </w:numPr>
        <w:tabs>
          <w:tab w:val="left" w:pos="720"/>
        </w:tabs>
        <w:spacing w:line="240" w:lineRule="auto"/>
        <w:ind w:hanging="359"/>
      </w:pPr>
      <w:r>
        <w:rPr>
          <w:i/>
        </w:rPr>
        <w:t>Establish and implement formal and systematic processes for assessing the effectiveness of the planning, program review, and resource allocation processes that include clear measures of effectiveness and direct evidence;</w:t>
      </w:r>
    </w:p>
    <w:p w14:paraId="5F00BBC7" w14:textId="77777777" w:rsidR="000553D9" w:rsidRDefault="008D6059">
      <w:pPr>
        <w:pStyle w:val="Normal1"/>
        <w:numPr>
          <w:ilvl w:val="0"/>
          <w:numId w:val="9"/>
        </w:numPr>
        <w:tabs>
          <w:tab w:val="left" w:pos="720"/>
        </w:tabs>
        <w:spacing w:line="240" w:lineRule="auto"/>
        <w:ind w:hanging="359"/>
      </w:pPr>
      <w:r>
        <w:rPr>
          <w:i/>
        </w:rPr>
        <w:t>Ensure that the implementation of integrated planning and resource allocation is not solely dependent upon the receipt of new revenue, but rather focuses on continuous improvement even if this requires reallocating or reprioritizing the use of existing resources;</w:t>
      </w:r>
    </w:p>
    <w:p w14:paraId="3A30B5CF" w14:textId="77777777" w:rsidR="000553D9" w:rsidRDefault="008D6059">
      <w:pPr>
        <w:pStyle w:val="Normal1"/>
        <w:numPr>
          <w:ilvl w:val="0"/>
          <w:numId w:val="9"/>
        </w:numPr>
        <w:tabs>
          <w:tab w:val="left" w:pos="720"/>
        </w:tabs>
        <w:spacing w:line="240" w:lineRule="auto"/>
        <w:ind w:hanging="359"/>
      </w:pPr>
      <w:r>
        <w:rPr>
          <w:i/>
        </w:rPr>
        <w:t>Assign administrative responsibility and accountability for the implementation of plans;</w:t>
      </w:r>
    </w:p>
    <w:p w14:paraId="79BB8AFB" w14:textId="77777777" w:rsidR="000553D9" w:rsidRDefault="008D6059">
      <w:pPr>
        <w:pStyle w:val="Normal1"/>
        <w:numPr>
          <w:ilvl w:val="0"/>
          <w:numId w:val="9"/>
        </w:numPr>
        <w:tabs>
          <w:tab w:val="left" w:pos="720"/>
        </w:tabs>
        <w:spacing w:line="240" w:lineRule="auto"/>
        <w:ind w:hanging="359"/>
      </w:pPr>
      <w:r>
        <w:rPr>
          <w:i/>
        </w:rPr>
        <w:t>Align the program review cycle and the annual planning and budget cycles to ensure that planning and resource allocation are data-driven and based upon annual outcome measures;</w:t>
      </w:r>
    </w:p>
    <w:p w14:paraId="2ACFB5A6" w14:textId="77777777" w:rsidR="000553D9" w:rsidRDefault="008D6059">
      <w:pPr>
        <w:pStyle w:val="Normal1"/>
        <w:numPr>
          <w:ilvl w:val="0"/>
          <w:numId w:val="9"/>
        </w:numPr>
        <w:tabs>
          <w:tab w:val="left" w:pos="720"/>
        </w:tabs>
        <w:spacing w:line="240" w:lineRule="auto"/>
        <w:ind w:hanging="359"/>
      </w:pPr>
      <w:r>
        <w:rPr>
          <w:i/>
        </w:rPr>
        <w:t>Clarify, document and review the multiple paths for requesting resources;</w:t>
      </w:r>
    </w:p>
    <w:p w14:paraId="7D785B85" w14:textId="77777777" w:rsidR="000553D9" w:rsidRDefault="008D6059">
      <w:pPr>
        <w:pStyle w:val="Normal1"/>
        <w:numPr>
          <w:ilvl w:val="0"/>
          <w:numId w:val="9"/>
        </w:numPr>
        <w:tabs>
          <w:tab w:val="left" w:pos="720"/>
        </w:tabs>
        <w:spacing w:line="240" w:lineRule="auto"/>
        <w:ind w:hanging="359"/>
      </w:pPr>
      <w:r>
        <w:rPr>
          <w:i/>
        </w:rPr>
        <w:t xml:space="preserve">Ensure an integrated process for continuous improvement of the planning process; and </w:t>
      </w:r>
    </w:p>
    <w:p w14:paraId="0D5C02B1" w14:textId="77777777" w:rsidR="000553D9" w:rsidRDefault="008D6059">
      <w:pPr>
        <w:pStyle w:val="Normal1"/>
        <w:numPr>
          <w:ilvl w:val="0"/>
          <w:numId w:val="9"/>
        </w:numPr>
        <w:tabs>
          <w:tab w:val="left" w:pos="720"/>
        </w:tabs>
        <w:spacing w:line="240" w:lineRule="auto"/>
        <w:ind w:hanging="359"/>
      </w:pPr>
      <w:r>
        <w:rPr>
          <w:i/>
        </w:rPr>
        <w:t>Facilitate increased campuswide awareness and understanding of the College’s integrated planning and decision-making processes (Standards IB.2, IB.3, IB.4, IB.6, IB.7, IIIA.6, IIID.1.a, IIID.1.b, IIID.3)</w:t>
      </w:r>
    </w:p>
    <w:p w14:paraId="1DE00011" w14:textId="77777777" w:rsidR="000553D9" w:rsidRDefault="000553D9">
      <w:pPr>
        <w:pStyle w:val="Normal1"/>
      </w:pPr>
    </w:p>
    <w:p w14:paraId="356F55C2" w14:textId="77777777" w:rsidR="000553D9" w:rsidRDefault="008D6059">
      <w:pPr>
        <w:pStyle w:val="Normal1"/>
      </w:pPr>
      <w:r>
        <w:rPr>
          <w:b/>
        </w:rPr>
        <w:t>Description of Institutional Response to Recommendation</w:t>
      </w:r>
    </w:p>
    <w:p w14:paraId="0B39B531" w14:textId="77777777" w:rsidR="000553D9" w:rsidRDefault="000553D9">
      <w:pPr>
        <w:pStyle w:val="Normal1"/>
      </w:pPr>
    </w:p>
    <w:p w14:paraId="3FE8D7BE" w14:textId="77777777" w:rsidR="000553D9" w:rsidRDefault="008D6059">
      <w:pPr>
        <w:pStyle w:val="Normal1"/>
      </w:pPr>
      <w:r>
        <w:t>Glendale Community College revised its planning, program review, and resource allocation processes beginning in summer 2010. As of spring 2013, the College is in the middle of its third annual cycle of integrated planning, program review, and resource allocation. The cycle includes the assessment of student learning outcomes, linking program reviews and resource requests to plans and learning outcomes, validation and prioritization of resource requests based on established goals, and formal annual evaluation of the processes. The integrated process is illustrated in the flowchart on the next page, which is also part of the College Planning Handbook [Ref. 1-1].</w:t>
      </w:r>
    </w:p>
    <w:p w14:paraId="62A95DAD" w14:textId="77777777" w:rsidR="000553D9" w:rsidRDefault="000553D9">
      <w:pPr>
        <w:pStyle w:val="Normal1"/>
      </w:pPr>
    </w:p>
    <w:p w14:paraId="167BA4E5" w14:textId="77777777" w:rsidR="000553D9" w:rsidRDefault="000553D9">
      <w:pPr>
        <w:pStyle w:val="Normal1"/>
      </w:pPr>
    </w:p>
    <w:p w14:paraId="2071A003" w14:textId="77777777" w:rsidR="000553D9" w:rsidRDefault="000553D9">
      <w:pPr>
        <w:pStyle w:val="Normal1"/>
      </w:pPr>
    </w:p>
    <w:p w14:paraId="42145D1F" w14:textId="77777777" w:rsidR="000553D9" w:rsidRDefault="008D6059">
      <w:pPr>
        <w:pStyle w:val="Normal1"/>
      </w:pPr>
      <w:proofErr w:type="gramStart"/>
      <w:r>
        <w:rPr>
          <w:b/>
        </w:rPr>
        <w:t>Figure 1-1.</w:t>
      </w:r>
      <w:proofErr w:type="gramEnd"/>
      <w:r>
        <w:rPr>
          <w:b/>
        </w:rPr>
        <w:t xml:space="preserve"> Flowchart for Integrated Planning</w:t>
      </w:r>
    </w:p>
    <w:p w14:paraId="2245336C" w14:textId="77777777" w:rsidR="000553D9" w:rsidRDefault="000553D9">
      <w:pPr>
        <w:pStyle w:val="Normal1"/>
      </w:pPr>
    </w:p>
    <w:p w14:paraId="53D282CF" w14:textId="77777777" w:rsidR="000553D9" w:rsidRDefault="008D6059">
      <w:pPr>
        <w:pStyle w:val="Normal1"/>
        <w:jc w:val="center"/>
      </w:pPr>
      <w:r>
        <w:rPr>
          <w:noProof/>
          <w:lang w:eastAsia="en-US"/>
        </w:rPr>
        <w:drawing>
          <wp:inline distT="0" distB="0" distL="0" distR="0" wp14:anchorId="7E7D1B42" wp14:editId="208BAACA">
            <wp:extent cx="5172075" cy="70580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tretch>
                      <a:fillRect/>
                    </a:stretch>
                  </pic:blipFill>
                  <pic:spPr>
                    <a:xfrm>
                      <a:off x="0" y="0"/>
                      <a:ext cx="5172075" cy="7058025"/>
                    </a:xfrm>
                    <a:prstGeom prst="rect">
                      <a:avLst/>
                    </a:prstGeom>
                  </pic:spPr>
                </pic:pic>
              </a:graphicData>
            </a:graphic>
          </wp:inline>
        </w:drawing>
      </w:r>
    </w:p>
    <w:p w14:paraId="4DF13177" w14:textId="77777777" w:rsidR="000553D9" w:rsidRDefault="000553D9">
      <w:pPr>
        <w:pStyle w:val="Normal1"/>
        <w:jc w:val="center"/>
      </w:pPr>
    </w:p>
    <w:p w14:paraId="39037C25" w14:textId="77777777" w:rsidR="000553D9" w:rsidRDefault="000553D9">
      <w:pPr>
        <w:pStyle w:val="Normal1"/>
      </w:pPr>
    </w:p>
    <w:p w14:paraId="55BE7015" w14:textId="77777777" w:rsidR="000553D9" w:rsidRDefault="000553D9">
      <w:pPr>
        <w:pStyle w:val="Normal1"/>
      </w:pPr>
    </w:p>
    <w:p w14:paraId="05DEAAE7" w14:textId="77777777" w:rsidR="000553D9" w:rsidRDefault="008D6059">
      <w:pPr>
        <w:pStyle w:val="Normal1"/>
      </w:pPr>
      <w:r>
        <w:t xml:space="preserve">All instructional, student </w:t>
      </w:r>
      <w:proofErr w:type="gramStart"/>
      <w:r>
        <w:t>services,</w:t>
      </w:r>
      <w:proofErr w:type="gramEnd"/>
      <w:r>
        <w:t xml:space="preserve"> and administrative programs conduct program review annually. Programs evaluate themselves, which includes reviewing progress on assessing student learning outcomes and using the results for improvement. Programs also generate resource requests based on their plans, on student achievement and student learning data, and on college-level plans. Resource requests are validated by the Program Review Committee in order to determine whether the requests address learning outcomes and College plans. If a request is not associated with learning outcomes or plans, it is considered “not supported” and does not move further into the resource allocation process. Validated requests are prioritized by the appropriate governance committees, with the final prioritization and recommendation for funding conducted by the Budget Committee. After resources are allocated, the process is formally evaluated and changes are recommended for the next annual cycle.</w:t>
      </w:r>
    </w:p>
    <w:p w14:paraId="4A4F0827" w14:textId="77777777" w:rsidR="000553D9" w:rsidRDefault="000553D9">
      <w:pPr>
        <w:pStyle w:val="Normal1"/>
      </w:pPr>
    </w:p>
    <w:p w14:paraId="54F8AEC3" w14:textId="77777777" w:rsidR="000553D9" w:rsidRDefault="008D6059">
      <w:pPr>
        <w:pStyle w:val="Normal1"/>
      </w:pPr>
      <w:r>
        <w:t>After this integrated process was designed in 2010, implementation began with the first annual program review cycle in 2010-2011. Implementation occurred according to the</w:t>
      </w:r>
      <w:r>
        <w:rPr>
          <w:color w:val="980000"/>
        </w:rPr>
        <w:t xml:space="preserve"> </w:t>
      </w:r>
      <w:r>
        <w:t>schedule in 2010-2011 and 2011-2012; in 2012-2013, the schedule is being followed and the College is currently validating and prioritizing resource requests for the 2013-2014 budget year.</w:t>
      </w:r>
    </w:p>
    <w:p w14:paraId="63554C93" w14:textId="77777777" w:rsidR="000553D9" w:rsidRDefault="000553D9">
      <w:pPr>
        <w:pStyle w:val="Normal1"/>
      </w:pPr>
    </w:p>
    <w:p w14:paraId="5A678628" w14:textId="77777777" w:rsidR="000553D9" w:rsidRDefault="008D6059">
      <w:pPr>
        <w:pStyle w:val="Normal1"/>
      </w:pPr>
      <w:r>
        <w:t>Beginning in the summer of 2012, the College began a second phase of strengthening integrated planning. College plans were evaluated according to their relationship to the goals and strategies of the Educational Master Plan (EMP). The result was a reorganization of the EMP into high-level goals and more specific implementation plans focused on instruction, student services, information technology, human resources, and safety [Ref. 1-2, 1-3]. This second phase is described in more detail on page 10 of this report, including the pyramid diagram shown there.</w:t>
      </w:r>
    </w:p>
    <w:p w14:paraId="509295CE" w14:textId="77777777" w:rsidR="000553D9" w:rsidRDefault="000553D9">
      <w:pPr>
        <w:pStyle w:val="Normal1"/>
      </w:pPr>
    </w:p>
    <w:p w14:paraId="2289E18B" w14:textId="77777777" w:rsidR="000553D9" w:rsidRDefault="000553D9">
      <w:pPr>
        <w:pStyle w:val="Normal1"/>
      </w:pPr>
    </w:p>
    <w:p w14:paraId="1E9E65F1" w14:textId="77777777" w:rsidR="000553D9" w:rsidRDefault="008D6059">
      <w:pPr>
        <w:pStyle w:val="Normal1"/>
      </w:pPr>
      <w:r>
        <w:rPr>
          <w:b/>
        </w:rPr>
        <w:t>Demonstration that Deficiencies Have Been Resolved</w:t>
      </w:r>
    </w:p>
    <w:p w14:paraId="3DB99D3A" w14:textId="77777777" w:rsidR="000553D9" w:rsidRDefault="000553D9">
      <w:pPr>
        <w:pStyle w:val="Normal1"/>
      </w:pPr>
    </w:p>
    <w:p w14:paraId="14D18946" w14:textId="77777777" w:rsidR="000553D9" w:rsidRDefault="008D6059">
      <w:pPr>
        <w:pStyle w:val="Normal1"/>
      </w:pPr>
      <w:r>
        <w:t>The following sections describe how the College resolved each component of Recommendation 1 and how the College meets the relevant eligibility requirements and standards.</w:t>
      </w:r>
    </w:p>
    <w:p w14:paraId="458BF5AE" w14:textId="77777777" w:rsidR="000553D9" w:rsidRDefault="000553D9">
      <w:pPr>
        <w:pStyle w:val="Normal1"/>
      </w:pPr>
    </w:p>
    <w:p w14:paraId="255CF758" w14:textId="77777777" w:rsidR="000553D9" w:rsidRDefault="008D6059">
      <w:pPr>
        <w:pStyle w:val="Normal1"/>
        <w:spacing w:line="240" w:lineRule="auto"/>
      </w:pPr>
      <w:r>
        <w:rPr>
          <w:b/>
          <w:i/>
        </w:rPr>
        <w:t>a) Establish and publish a clear timeline and specific outcomes for the integration of the planning processes.</w:t>
      </w:r>
    </w:p>
    <w:p w14:paraId="7A89AA5B" w14:textId="77777777" w:rsidR="000553D9" w:rsidRDefault="000553D9">
      <w:pPr>
        <w:pStyle w:val="Normal1"/>
      </w:pPr>
    </w:p>
    <w:p w14:paraId="0E595887" w14:textId="77777777" w:rsidR="000553D9" w:rsidRDefault="008D6059">
      <w:pPr>
        <w:pStyle w:val="Normal1"/>
      </w:pPr>
      <w:r>
        <w:t xml:space="preserve">The timeline and outcomes are published in the College’s Planning Handbook [Ref. 1-1], which is updated annually. In the 2012-2013 Planning Handbook, the timeline for implementation, including intended outcomes, is on page 25. A timeline of annual activities, including activity outcomes and products, is on page 26. The timeline for implementing the integrated planning, program review, and resource allocation process </w:t>
      </w:r>
      <w:r>
        <w:lastRenderedPageBreak/>
        <w:t>was completed in 2010-2011. The process is now in place and has been conducted in 2010-2011, 2011-2012, and 2012-2013.</w:t>
      </w:r>
    </w:p>
    <w:p w14:paraId="14A5E313" w14:textId="77777777" w:rsidR="000553D9" w:rsidRDefault="000553D9">
      <w:pPr>
        <w:pStyle w:val="Normal1"/>
      </w:pPr>
    </w:p>
    <w:p w14:paraId="3B0513F0" w14:textId="77777777" w:rsidR="000553D9" w:rsidRDefault="000553D9">
      <w:pPr>
        <w:pStyle w:val="Normal1"/>
      </w:pPr>
    </w:p>
    <w:p w14:paraId="4CDAB554" w14:textId="77777777" w:rsidR="000553D9" w:rsidRDefault="008D6059">
      <w:pPr>
        <w:pStyle w:val="Normal1"/>
        <w:spacing w:line="240" w:lineRule="auto"/>
      </w:pPr>
      <w:r>
        <w:rPr>
          <w:b/>
          <w:i/>
        </w:rPr>
        <w:t>b) Establish and implement formal and systematic processes for assessing the effectiveness of the planning, program review, and resource allocation processes that include clear measures of effectiveness and direct evidence.</w:t>
      </w:r>
    </w:p>
    <w:p w14:paraId="7D6B3ADE" w14:textId="77777777" w:rsidR="000553D9" w:rsidRDefault="000553D9">
      <w:pPr>
        <w:pStyle w:val="Normal1"/>
      </w:pPr>
    </w:p>
    <w:p w14:paraId="15BE514F" w14:textId="77777777" w:rsidR="000553D9" w:rsidRDefault="008D6059">
      <w:pPr>
        <w:pStyle w:val="Normal1"/>
      </w:pPr>
      <w:r>
        <w:t>Formal, systematic, annual assessment is a key component of the integrated planning, program review, and resource allocation process. The Institutional Planning Coordination Committee (IPCC) is the governance committee responsible for assessing the integrated process, with the contributions of the Program Review Committee, the Budget Committee, and the Planning Resource Committee (also known as Team B). The assessment forms for the process include clear measures of effectiveness and direct evidence [Ref. 1-4, 1-5, 1-6]. Assessment reports are published annually. The most recent assessment report is the Annual Report on Integrated Planning, Program Review, and Resource Allocation for 2011-2012 [Ref. 1-7]. A report evaluating the 2012-2013 process is in the early stages of being drafted but the resource allocation process is not complete yet so the 2012-2013 assessment report will not be published until summer 2013.</w:t>
      </w:r>
    </w:p>
    <w:p w14:paraId="41420483" w14:textId="77777777" w:rsidR="000553D9" w:rsidRDefault="000553D9">
      <w:pPr>
        <w:pStyle w:val="Normal1"/>
      </w:pPr>
    </w:p>
    <w:p w14:paraId="1CB3F401" w14:textId="77777777" w:rsidR="000553D9" w:rsidRDefault="008D6059">
      <w:pPr>
        <w:pStyle w:val="Normal1"/>
      </w:pPr>
      <w:r>
        <w:t>Assessment reports include recommendations for improving the integrated process in the next cycle. The reports also include examples of how the integrated process has resulted in improvements. Documented examples of assessment and planning leading to improvement have also been presented to the Master Planning Committee (Team A) in 2011-2012 [Ref. 1-8] and 2012-2013 [Ref. 1-9].</w:t>
      </w:r>
    </w:p>
    <w:p w14:paraId="3EA478BF" w14:textId="77777777" w:rsidR="000553D9" w:rsidRDefault="000553D9">
      <w:pPr>
        <w:pStyle w:val="Normal1"/>
      </w:pPr>
    </w:p>
    <w:p w14:paraId="46B8FB92" w14:textId="77777777" w:rsidR="000553D9" w:rsidRDefault="000553D9">
      <w:pPr>
        <w:pStyle w:val="Normal1"/>
      </w:pPr>
    </w:p>
    <w:p w14:paraId="4197F51E" w14:textId="77777777" w:rsidR="000553D9" w:rsidRDefault="008D6059">
      <w:pPr>
        <w:pStyle w:val="Normal1"/>
        <w:spacing w:line="240" w:lineRule="auto"/>
      </w:pPr>
      <w:r>
        <w:rPr>
          <w:b/>
          <w:i/>
        </w:rPr>
        <w:t>c) Ensure that the implementation of integrated planning and resource allocation is not solely dependent upon the receipt of new revenue, but rather focuses on continuous improvement even if this requires reallocating or reprioritizing the use of existing resources</w:t>
      </w:r>
    </w:p>
    <w:p w14:paraId="7DA35B02" w14:textId="77777777" w:rsidR="000553D9" w:rsidRDefault="000553D9">
      <w:pPr>
        <w:pStyle w:val="Normal1"/>
      </w:pPr>
    </w:p>
    <w:p w14:paraId="7EE75721" w14:textId="77777777" w:rsidR="000553D9" w:rsidRDefault="008D6059">
      <w:pPr>
        <w:pStyle w:val="Normal1"/>
      </w:pPr>
      <w:r>
        <w:t>Resource allocation now includes reprioritization and reallocation of current resources. As the 2011 visiting team found, the College implemented four methods for ensuring that planning and resource allocation are not solely dependent on new revenues. First, resource requests from program review are tied to learning outcomes and/or plan goals. Second, the Budget Reallocation Subcommittee annually identifies low-priority items in the budget and recommends cuts, making funds available for higher-priority requests. Third, the College has moved away from automatically replacing employees, now prioritizing hiring according to mission and needs. Fourth, enrollment management has been improved by prioritizing course offerings according to the College mission. The 2011 visiting team said that “the college appears to have put in place mechanisms that will help the continuity and meaningfulness of the new planning process, thus shifting the focus away from the acquisition of new funding</w:t>
      </w:r>
      <w:r>
        <w:rPr>
          <w:color w:val="980000"/>
        </w:rPr>
        <w:t xml:space="preserve"> </w:t>
      </w:r>
      <w:r>
        <w:t>to improvement.”</w:t>
      </w:r>
    </w:p>
    <w:p w14:paraId="0C06937D" w14:textId="77777777" w:rsidR="000553D9" w:rsidRDefault="000553D9">
      <w:pPr>
        <w:pStyle w:val="Normal1"/>
      </w:pPr>
    </w:p>
    <w:p w14:paraId="7354D7AE" w14:textId="77777777" w:rsidR="000553D9" w:rsidRDefault="000553D9">
      <w:pPr>
        <w:pStyle w:val="Normal1"/>
      </w:pPr>
    </w:p>
    <w:p w14:paraId="18E33409" w14:textId="77777777" w:rsidR="000553D9" w:rsidRDefault="008D6059">
      <w:pPr>
        <w:pStyle w:val="Normal1"/>
      </w:pPr>
      <w:r>
        <w:rPr>
          <w:b/>
          <w:i/>
        </w:rPr>
        <w:t>d) Assign administrative responsibility and accountability for the implementation of plans</w:t>
      </w:r>
    </w:p>
    <w:p w14:paraId="5F5000A1" w14:textId="77777777" w:rsidR="000553D9" w:rsidRDefault="000553D9">
      <w:pPr>
        <w:pStyle w:val="Normal1"/>
      </w:pPr>
    </w:p>
    <w:p w14:paraId="1B3505A5" w14:textId="77777777" w:rsidR="000553D9" w:rsidRDefault="008D6059">
      <w:pPr>
        <w:pStyle w:val="Normal1"/>
      </w:pPr>
      <w:r>
        <w:t>The administrators and committees responsible for College plans are listed in the Planning Handbook [Ref. 1-1, page 18]. Responsibilities for plans are a component of administrators’ evaluations [Ref. 1-17]. The Institutional Planning Coordinating Committee is the governance committee that identifies the responsible administrators for plan development, completion, and assessment.</w:t>
      </w:r>
    </w:p>
    <w:p w14:paraId="5C2646A8" w14:textId="77777777" w:rsidR="000553D9" w:rsidRDefault="000553D9">
      <w:pPr>
        <w:pStyle w:val="Normal1"/>
      </w:pPr>
    </w:p>
    <w:p w14:paraId="43719251" w14:textId="77777777" w:rsidR="000553D9" w:rsidRDefault="000553D9">
      <w:pPr>
        <w:pStyle w:val="Normal1"/>
      </w:pPr>
    </w:p>
    <w:p w14:paraId="77070DDB" w14:textId="77777777" w:rsidR="000553D9" w:rsidRDefault="008D6059">
      <w:pPr>
        <w:pStyle w:val="Normal1"/>
        <w:spacing w:line="240" w:lineRule="auto"/>
      </w:pPr>
      <w:r>
        <w:rPr>
          <w:b/>
          <w:i/>
        </w:rPr>
        <w:t>e) Align the program review cycle and the annual planning and budget cycles to ensure that planning and resource allocation are data-driven and based upon annual outcome measures</w:t>
      </w:r>
    </w:p>
    <w:p w14:paraId="64AB81FE" w14:textId="77777777" w:rsidR="000553D9" w:rsidRDefault="000553D9">
      <w:pPr>
        <w:pStyle w:val="Normal1"/>
      </w:pPr>
    </w:p>
    <w:p w14:paraId="22A6DBCB" w14:textId="77777777" w:rsidR="000553D9" w:rsidRDefault="008D6059">
      <w:pPr>
        <w:pStyle w:val="Normal1"/>
      </w:pPr>
      <w:r>
        <w:t>The alignment of annual program review and annual planning and budgeting is an important component of the integrated process implemented for the first time in 2010-2011. Program planning and resource requests are based on data supplied in the program review document. Program review includes both student achievement data and student learning outcomes data. In order to be validated, resource requests must be tied specifically to learning outcomes, student achievement, or College plans; only validated requests are prioritized in the governance system. The resource request form also requires programs to identify measurable outcomes that will be produced as a result of the request being funded.</w:t>
      </w:r>
    </w:p>
    <w:p w14:paraId="764AD183" w14:textId="77777777" w:rsidR="000553D9" w:rsidRDefault="000553D9">
      <w:pPr>
        <w:pStyle w:val="Normal1"/>
      </w:pPr>
    </w:p>
    <w:p w14:paraId="2F547578" w14:textId="77777777" w:rsidR="000553D9" w:rsidRDefault="000553D9">
      <w:pPr>
        <w:pStyle w:val="Normal1"/>
      </w:pPr>
    </w:p>
    <w:p w14:paraId="562B3F34" w14:textId="77777777" w:rsidR="000553D9" w:rsidRDefault="008D6059">
      <w:pPr>
        <w:pStyle w:val="Normal1"/>
        <w:spacing w:line="240" w:lineRule="auto"/>
      </w:pPr>
      <w:proofErr w:type="gramStart"/>
      <w:r>
        <w:rPr>
          <w:b/>
          <w:i/>
        </w:rPr>
        <w:t>f</w:t>
      </w:r>
      <w:proofErr w:type="gramEnd"/>
      <w:r>
        <w:rPr>
          <w:b/>
          <w:i/>
        </w:rPr>
        <w:t>) Clarify, document and review the multiple paths for requesting resources</w:t>
      </w:r>
    </w:p>
    <w:p w14:paraId="54249A16" w14:textId="77777777" w:rsidR="000553D9" w:rsidRDefault="000553D9">
      <w:pPr>
        <w:pStyle w:val="Normal1"/>
      </w:pPr>
    </w:p>
    <w:p w14:paraId="1B3822EC" w14:textId="37E36B4A" w:rsidR="000553D9" w:rsidRDefault="008D6059">
      <w:pPr>
        <w:pStyle w:val="Normal1"/>
      </w:pPr>
      <w:r>
        <w:t xml:space="preserve">Resource requests are prioritized and funding decisions are recommended through a single, integrated system, described in the flowchart on page 6 of this report. The process is documented in the Planning Handbook [Ref. 1-1] and in the program review </w:t>
      </w:r>
      <w:r w:rsidR="009910B8">
        <w:t xml:space="preserve">documents </w:t>
      </w:r>
      <w:r>
        <w:t>[Ref. 1-10]. As the 2011 visiting team noted, “the college in their new integrated planning process has developed one avenue through which all resource requests must pass.”</w:t>
      </w:r>
    </w:p>
    <w:p w14:paraId="53A084E9" w14:textId="77777777" w:rsidR="000553D9" w:rsidRDefault="000553D9">
      <w:pPr>
        <w:pStyle w:val="Normal1"/>
      </w:pPr>
    </w:p>
    <w:p w14:paraId="5017BBEE" w14:textId="77777777" w:rsidR="000553D9" w:rsidRDefault="008D6059">
      <w:pPr>
        <w:pStyle w:val="Normal1"/>
      </w:pPr>
      <w:r>
        <w:t xml:space="preserve">In 2010-2011, 183 resource requests were submitted through program review and plan review. Of those requests, 23 were included in the College’s 2011-2012 </w:t>
      </w:r>
      <w:proofErr w:type="gramStart"/>
      <w:r>
        <w:t>budget</w:t>
      </w:r>
      <w:proofErr w:type="gramEnd"/>
      <w:r>
        <w:t>. In 2011-2012, 178 resource requests were submitted and 16 were funded in the 2012-2013 budget.</w:t>
      </w:r>
    </w:p>
    <w:p w14:paraId="399178C5" w14:textId="77777777" w:rsidR="000553D9" w:rsidRDefault="000553D9">
      <w:pPr>
        <w:pStyle w:val="Normal1"/>
      </w:pPr>
    </w:p>
    <w:p w14:paraId="6A26DEC3" w14:textId="77777777" w:rsidR="0026650E" w:rsidRDefault="0026650E">
      <w:pPr>
        <w:rPr>
          <w:rFonts w:ascii="Arial" w:eastAsia="Arial" w:hAnsi="Arial" w:cs="Arial"/>
          <w:b/>
          <w:i/>
          <w:color w:val="000000"/>
          <w:sz w:val="22"/>
        </w:rPr>
      </w:pPr>
      <w:r>
        <w:rPr>
          <w:b/>
          <w:i/>
        </w:rPr>
        <w:br w:type="page"/>
      </w:r>
    </w:p>
    <w:p w14:paraId="1CD2F935" w14:textId="231B5209" w:rsidR="000553D9" w:rsidRDefault="008D6059">
      <w:pPr>
        <w:pStyle w:val="Normal1"/>
        <w:spacing w:line="240" w:lineRule="auto"/>
      </w:pPr>
      <w:r>
        <w:rPr>
          <w:b/>
          <w:i/>
        </w:rPr>
        <w:lastRenderedPageBreak/>
        <w:t>g) Ensure an integrated process for continuous improvement of the planning process</w:t>
      </w:r>
    </w:p>
    <w:p w14:paraId="64AF1F59" w14:textId="77777777" w:rsidR="000553D9" w:rsidRDefault="000553D9">
      <w:pPr>
        <w:pStyle w:val="Normal1"/>
      </w:pPr>
    </w:p>
    <w:p w14:paraId="2D5282E8" w14:textId="77777777" w:rsidR="000553D9" w:rsidRDefault="008D6059">
      <w:pPr>
        <w:pStyle w:val="Normal1"/>
      </w:pPr>
      <w:r>
        <w:t>The planning, program review, and resource allocation process is integrated and focused on continuous improvement. The 2011 visiting team found that “the college has created an integrated process where evaluation serves as the foundation for the identification of areas needing improvement and the plans to address these areas.” The College has completed two full cycles of implementation, evaluation, and improvement and is in the middle of the third cycle. Annual evaluation, focused on continuous improvement, is a major component of the process. Evaluation documents including recommendations for improvement during the next cycle are published at the end of every integrated planning cycle [Ref. 1-7].</w:t>
      </w:r>
    </w:p>
    <w:p w14:paraId="5174D57F" w14:textId="77777777" w:rsidR="000553D9" w:rsidRDefault="000553D9">
      <w:pPr>
        <w:pStyle w:val="Normal1"/>
      </w:pPr>
    </w:p>
    <w:p w14:paraId="0A2F5377" w14:textId="77777777" w:rsidR="000553D9" w:rsidRDefault="008D6059">
      <w:pPr>
        <w:pStyle w:val="Normal1"/>
      </w:pPr>
      <w:r>
        <w:t>Further efforts to strengthen planning were begun in spring 2012 by the IPCC and the Master Planning Committee. The figure below illustrates the reorganized planning system that is currently being implemented. The College mission statement is at the top of the “pyramid” and each of the collegewide goals of the Educational Master Plan are at the next level. Below the collegewide goals are plans covering key College functions (Instruction Plan, Student Services Plan, Technology Plan, etc.). Each of these plans links to the overarching EMP goals. At the bottom level of the pyramid are program reviews, which provide a mechanism for reviewing, assessing, and improving the action items defined in the area plans.</w:t>
      </w:r>
    </w:p>
    <w:p w14:paraId="54A1A60A" w14:textId="77777777" w:rsidR="000553D9" w:rsidRDefault="000553D9">
      <w:pPr>
        <w:pStyle w:val="Normal1"/>
      </w:pPr>
    </w:p>
    <w:p w14:paraId="586BB51C" w14:textId="77777777" w:rsidR="000553D9" w:rsidRDefault="008D6059">
      <w:pPr>
        <w:pStyle w:val="Normal1"/>
      </w:pPr>
      <w:r>
        <w:rPr>
          <w:b/>
        </w:rPr>
        <w:t>Figure 1-2. Reorganization of Plans and Planning</w:t>
      </w:r>
    </w:p>
    <w:p w14:paraId="370FC718" w14:textId="77777777" w:rsidR="000553D9" w:rsidRDefault="008D6059">
      <w:pPr>
        <w:pStyle w:val="Normal1"/>
        <w:jc w:val="center"/>
      </w:pPr>
      <w:r>
        <w:rPr>
          <w:noProof/>
          <w:lang w:eastAsia="en-US"/>
        </w:rPr>
        <w:drawing>
          <wp:inline distT="0" distB="0" distL="0" distR="0" wp14:anchorId="2923CBF2" wp14:editId="5D53BE1B">
            <wp:extent cx="4457700" cy="3343275"/>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1"/>
                    <a:stretch>
                      <a:fillRect/>
                    </a:stretch>
                  </pic:blipFill>
                  <pic:spPr>
                    <a:xfrm>
                      <a:off x="0" y="0"/>
                      <a:ext cx="4457700" cy="3343275"/>
                    </a:xfrm>
                    <a:prstGeom prst="rect">
                      <a:avLst/>
                    </a:prstGeom>
                  </pic:spPr>
                </pic:pic>
              </a:graphicData>
            </a:graphic>
          </wp:inline>
        </w:drawing>
      </w:r>
    </w:p>
    <w:p w14:paraId="65CD6E23" w14:textId="77777777" w:rsidR="0026650E" w:rsidRDefault="0026650E">
      <w:pPr>
        <w:rPr>
          <w:rFonts w:ascii="Arial" w:eastAsia="Arial" w:hAnsi="Arial" w:cs="Arial"/>
          <w:b/>
          <w:i/>
          <w:color w:val="000000"/>
          <w:sz w:val="22"/>
        </w:rPr>
      </w:pPr>
      <w:r>
        <w:rPr>
          <w:b/>
          <w:i/>
        </w:rPr>
        <w:br w:type="page"/>
      </w:r>
    </w:p>
    <w:p w14:paraId="7355A7FA" w14:textId="703CC138" w:rsidR="000553D9" w:rsidRDefault="008D6059">
      <w:pPr>
        <w:pStyle w:val="Normal1"/>
        <w:spacing w:line="240" w:lineRule="auto"/>
      </w:pPr>
      <w:r>
        <w:rPr>
          <w:b/>
          <w:i/>
        </w:rPr>
        <w:lastRenderedPageBreak/>
        <w:t>h) Facilitate increased campuswide awareness and understanding of the college’s integrated planning and decision-making processes</w:t>
      </w:r>
    </w:p>
    <w:p w14:paraId="381A0DDE" w14:textId="77777777" w:rsidR="000553D9" w:rsidRDefault="000553D9">
      <w:pPr>
        <w:pStyle w:val="Normal1"/>
      </w:pPr>
    </w:p>
    <w:p w14:paraId="5A92D4CA" w14:textId="77777777" w:rsidR="000553D9" w:rsidRDefault="008D6059">
      <w:pPr>
        <w:pStyle w:val="Normal1"/>
      </w:pPr>
      <w:r>
        <w:t>The implementation of the integrated planning, program review, and resource allocation process was accompanied by a concerted effort to improve awareness and understanding. The effort included presentations at collegewide activities and discussions at governance committee meetings. The 2011 visiting team stated that “In interviews with staff and faculty leadership, both reported that the response to the new process has been overwhelmingly positive.” Faculty/staff surveys show strong awareness about the process. The percentage reporting that they were aware of the new integrated planning process was 78 percent in fall 2010, 82 percent in fall 2011, and 78</w:t>
      </w:r>
      <w:r w:rsidRPr="003758FA">
        <w:t xml:space="preserve"> </w:t>
      </w:r>
      <w:r>
        <w:t>percent in fall 2012.</w:t>
      </w:r>
    </w:p>
    <w:p w14:paraId="4DFA2CBD" w14:textId="77777777" w:rsidR="000553D9" w:rsidRDefault="000553D9">
      <w:pPr>
        <w:pStyle w:val="Normal1"/>
      </w:pPr>
    </w:p>
    <w:p w14:paraId="119322F5" w14:textId="77777777" w:rsidR="000553D9" w:rsidRDefault="000553D9">
      <w:pPr>
        <w:pStyle w:val="Normal1"/>
      </w:pPr>
    </w:p>
    <w:p w14:paraId="54B0D1BE" w14:textId="77777777" w:rsidR="000553D9" w:rsidRDefault="008D6059">
      <w:pPr>
        <w:pStyle w:val="Normal1"/>
      </w:pPr>
      <w:r>
        <w:t>The following table shows how the College meets the sustainable continuous quality improvement level for planning and program review, as defined in the ACCJC Rubric for Evaluating Institutional Effectiveness. The College is in the middle of its third integrated planning cycle.</w:t>
      </w:r>
    </w:p>
    <w:p w14:paraId="1E6B3D78" w14:textId="77777777" w:rsidR="000553D9" w:rsidRDefault="000553D9">
      <w:pPr>
        <w:pStyle w:val="Normal1"/>
      </w:pPr>
    </w:p>
    <w:p w14:paraId="1321D719" w14:textId="6DE406E9" w:rsidR="000553D9" w:rsidRDefault="00944EFF">
      <w:pPr>
        <w:pStyle w:val="Normal1"/>
      </w:pPr>
      <w:r>
        <w:rPr>
          <w:b/>
        </w:rPr>
        <w:t>Figure 1-3</w:t>
      </w:r>
      <w:r w:rsidR="008D6059">
        <w:rPr>
          <w:b/>
        </w:rPr>
        <w:t>. Sustainable Continuous Quality Improvement</w:t>
      </w:r>
    </w:p>
    <w:p w14:paraId="14459DE5" w14:textId="77777777" w:rsidR="000553D9" w:rsidRDefault="000553D9">
      <w:pPr>
        <w:pStyle w:val="Normal1"/>
      </w:pPr>
    </w:p>
    <w:p w14:paraId="4DC71C6D" w14:textId="77777777" w:rsidR="000553D9" w:rsidRDefault="000553D9">
      <w:pPr>
        <w:pStyle w:val="Normal1"/>
      </w:pPr>
    </w:p>
    <w:tbl>
      <w:tblPr>
        <w:tblW w:w="86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50"/>
        <w:gridCol w:w="5490"/>
      </w:tblGrid>
      <w:tr w:rsidR="000553D9" w14:paraId="62FBFFFE" w14:textId="77777777">
        <w:tc>
          <w:tcPr>
            <w:tcW w:w="3150" w:type="dxa"/>
            <w:shd w:val="clear" w:color="auto" w:fill="D9D9D9"/>
            <w:tcMar>
              <w:top w:w="100" w:type="dxa"/>
              <w:left w:w="100" w:type="dxa"/>
              <w:bottom w:w="100" w:type="dxa"/>
              <w:right w:w="100" w:type="dxa"/>
            </w:tcMar>
          </w:tcPr>
          <w:p w14:paraId="6A9A7150" w14:textId="77777777" w:rsidR="000553D9" w:rsidRDefault="000553D9">
            <w:pPr>
              <w:pStyle w:val="Normal1"/>
              <w:spacing w:line="240" w:lineRule="auto"/>
            </w:pPr>
          </w:p>
          <w:p w14:paraId="41FA0399" w14:textId="77777777" w:rsidR="000553D9" w:rsidRDefault="008D6059">
            <w:pPr>
              <w:pStyle w:val="Normal1"/>
              <w:spacing w:line="240" w:lineRule="auto"/>
            </w:pPr>
            <w:r>
              <w:rPr>
                <w:b/>
              </w:rPr>
              <w:t xml:space="preserve">Program Review Items at </w:t>
            </w:r>
            <w:r>
              <w:rPr>
                <w:b/>
                <w:i/>
              </w:rPr>
              <w:t>Proficiency</w:t>
            </w:r>
            <w:r>
              <w:rPr>
                <w:b/>
              </w:rPr>
              <w:t xml:space="preserve"> Level</w:t>
            </w:r>
          </w:p>
        </w:tc>
        <w:tc>
          <w:tcPr>
            <w:tcW w:w="5490" w:type="dxa"/>
            <w:shd w:val="clear" w:color="auto" w:fill="D9D9D9"/>
            <w:tcMar>
              <w:top w:w="100" w:type="dxa"/>
              <w:left w:w="100" w:type="dxa"/>
              <w:bottom w:w="100" w:type="dxa"/>
              <w:right w:w="100" w:type="dxa"/>
            </w:tcMar>
          </w:tcPr>
          <w:p w14:paraId="2F68CFE3" w14:textId="77777777" w:rsidR="000553D9" w:rsidRDefault="000553D9">
            <w:pPr>
              <w:pStyle w:val="Normal1"/>
              <w:spacing w:line="240" w:lineRule="auto"/>
              <w:jc w:val="right"/>
            </w:pPr>
          </w:p>
        </w:tc>
      </w:tr>
      <w:tr w:rsidR="000553D9" w14:paraId="240C2370" w14:textId="77777777">
        <w:tc>
          <w:tcPr>
            <w:tcW w:w="3150" w:type="dxa"/>
            <w:shd w:val="clear" w:color="auto" w:fill="D9D9D9"/>
            <w:tcMar>
              <w:top w:w="100" w:type="dxa"/>
              <w:left w:w="108" w:type="dxa"/>
              <w:bottom w:w="100" w:type="dxa"/>
              <w:right w:w="108" w:type="dxa"/>
            </w:tcMar>
          </w:tcPr>
          <w:p w14:paraId="7898ACE1" w14:textId="77777777" w:rsidR="000553D9" w:rsidRDefault="008D6059">
            <w:pPr>
              <w:pStyle w:val="Normal1"/>
            </w:pPr>
            <w:r>
              <w:rPr>
                <w:b/>
              </w:rPr>
              <w:t>Rubric Item</w:t>
            </w:r>
          </w:p>
        </w:tc>
        <w:tc>
          <w:tcPr>
            <w:tcW w:w="5490" w:type="dxa"/>
            <w:shd w:val="clear" w:color="auto" w:fill="D9D9D9"/>
            <w:tcMar>
              <w:top w:w="100" w:type="dxa"/>
              <w:left w:w="108" w:type="dxa"/>
              <w:bottom w:w="100" w:type="dxa"/>
              <w:right w:w="108" w:type="dxa"/>
            </w:tcMar>
          </w:tcPr>
          <w:p w14:paraId="142D2C60" w14:textId="77777777" w:rsidR="000553D9" w:rsidRDefault="008D6059">
            <w:pPr>
              <w:pStyle w:val="Normal1"/>
            </w:pPr>
            <w:r>
              <w:rPr>
                <w:b/>
              </w:rPr>
              <w:t>College Progress</w:t>
            </w:r>
          </w:p>
        </w:tc>
      </w:tr>
      <w:tr w:rsidR="000553D9" w14:paraId="40E55597" w14:textId="77777777">
        <w:tc>
          <w:tcPr>
            <w:tcW w:w="3150" w:type="dxa"/>
            <w:tcMar>
              <w:top w:w="100" w:type="dxa"/>
              <w:left w:w="108" w:type="dxa"/>
              <w:bottom w:w="100" w:type="dxa"/>
              <w:right w:w="108" w:type="dxa"/>
            </w:tcMar>
          </w:tcPr>
          <w:p w14:paraId="00B83AE3" w14:textId="77777777" w:rsidR="000553D9" w:rsidRDefault="008D6059">
            <w:pPr>
              <w:pStyle w:val="Normal1"/>
            </w:pPr>
            <w:r>
              <w:t>Program review processes are in place and implemented regularly.</w:t>
            </w:r>
          </w:p>
        </w:tc>
        <w:tc>
          <w:tcPr>
            <w:tcW w:w="5490" w:type="dxa"/>
            <w:tcMar>
              <w:top w:w="100" w:type="dxa"/>
              <w:left w:w="108" w:type="dxa"/>
              <w:bottom w:w="100" w:type="dxa"/>
              <w:right w:w="108" w:type="dxa"/>
            </w:tcMar>
          </w:tcPr>
          <w:p w14:paraId="36B7B69C" w14:textId="77777777" w:rsidR="000553D9" w:rsidRDefault="008D6059">
            <w:pPr>
              <w:pStyle w:val="Normal1"/>
            </w:pPr>
            <w:r>
              <w:t xml:space="preserve">All instructional, student </w:t>
            </w:r>
            <w:proofErr w:type="gramStart"/>
            <w:r>
              <w:t>services,</w:t>
            </w:r>
            <w:proofErr w:type="gramEnd"/>
            <w:r>
              <w:t xml:space="preserve"> and administrative programs conduct program review annually. Annual program review has been conducted since 2010-2011. Three cycles have been completed, in 2010-2011, 2011-2012, and 2012-2013.</w:t>
            </w:r>
          </w:p>
        </w:tc>
      </w:tr>
      <w:tr w:rsidR="000553D9" w14:paraId="473C5F86" w14:textId="77777777">
        <w:tc>
          <w:tcPr>
            <w:tcW w:w="3150" w:type="dxa"/>
            <w:tcMar>
              <w:top w:w="100" w:type="dxa"/>
              <w:left w:w="108" w:type="dxa"/>
              <w:bottom w:w="100" w:type="dxa"/>
              <w:right w:w="108" w:type="dxa"/>
            </w:tcMar>
          </w:tcPr>
          <w:p w14:paraId="39115BC5" w14:textId="77777777" w:rsidR="000553D9" w:rsidRDefault="008D6059">
            <w:pPr>
              <w:pStyle w:val="Normal1"/>
            </w:pPr>
            <w:r>
              <w:t>Results of all program reviews are integrated into institution-wide planning for improvement and informed decision-making.</w:t>
            </w:r>
          </w:p>
        </w:tc>
        <w:tc>
          <w:tcPr>
            <w:tcW w:w="5490" w:type="dxa"/>
            <w:tcMar>
              <w:top w:w="100" w:type="dxa"/>
              <w:left w:w="108" w:type="dxa"/>
              <w:bottom w:w="100" w:type="dxa"/>
              <w:right w:w="108" w:type="dxa"/>
            </w:tcMar>
          </w:tcPr>
          <w:p w14:paraId="69FA6D34" w14:textId="77777777" w:rsidR="000553D9" w:rsidRDefault="008D6059">
            <w:pPr>
              <w:pStyle w:val="Normal1"/>
            </w:pPr>
            <w:r>
              <w:t xml:space="preserve">Completed program reviews are summarized in order to aggregate information about common resource requests, which identify College needs, and changes leading to improvement. Summaries are presented to the Master Planning Committee (Team A) annually to inform planning. Common resource requests are considered for making revisions to the Educational Master Plan and also for making suggestions for the Annual Goals that are proposed by Team A and approved by the Campus Executive Committee every year. Summary reports were presented to Team </w:t>
            </w:r>
            <w:proofErr w:type="gramStart"/>
            <w:r>
              <w:t>A</w:t>
            </w:r>
            <w:proofErr w:type="gramEnd"/>
            <w:r>
              <w:t xml:space="preserve"> on </w:t>
            </w:r>
            <w:r>
              <w:lastRenderedPageBreak/>
              <w:t>[date in Fall 2011] and [date in Fall 2012].</w:t>
            </w:r>
          </w:p>
        </w:tc>
      </w:tr>
      <w:tr w:rsidR="000553D9" w14:paraId="3F26D3B3" w14:textId="77777777">
        <w:tc>
          <w:tcPr>
            <w:tcW w:w="3150" w:type="dxa"/>
            <w:tcMar>
              <w:top w:w="100" w:type="dxa"/>
              <w:left w:w="108" w:type="dxa"/>
              <w:bottom w:w="100" w:type="dxa"/>
              <w:right w:w="108" w:type="dxa"/>
            </w:tcMar>
          </w:tcPr>
          <w:p w14:paraId="72296647" w14:textId="77777777" w:rsidR="000553D9" w:rsidRDefault="008D6059">
            <w:pPr>
              <w:pStyle w:val="Normal1"/>
            </w:pPr>
            <w:r>
              <w:lastRenderedPageBreak/>
              <w:t>The program review framework is established and implemented.</w:t>
            </w:r>
          </w:p>
        </w:tc>
        <w:tc>
          <w:tcPr>
            <w:tcW w:w="5490" w:type="dxa"/>
            <w:tcMar>
              <w:top w:w="100" w:type="dxa"/>
              <w:left w:w="108" w:type="dxa"/>
              <w:bottom w:w="100" w:type="dxa"/>
              <w:right w:w="108" w:type="dxa"/>
            </w:tcMar>
          </w:tcPr>
          <w:p w14:paraId="3945A063" w14:textId="77777777" w:rsidR="000553D9" w:rsidRDefault="008D6059">
            <w:pPr>
              <w:pStyle w:val="Normal1"/>
            </w:pPr>
            <w:r>
              <w:t>Program review is implemented and fits clearly into the integrated process for planning, program review, and resource allocation (see Figure 1-1).</w:t>
            </w:r>
          </w:p>
        </w:tc>
      </w:tr>
      <w:tr w:rsidR="000553D9" w14:paraId="7E92852A" w14:textId="77777777">
        <w:tc>
          <w:tcPr>
            <w:tcW w:w="3150" w:type="dxa"/>
            <w:tcMar>
              <w:top w:w="100" w:type="dxa"/>
              <w:left w:w="108" w:type="dxa"/>
              <w:bottom w:w="100" w:type="dxa"/>
              <w:right w:w="108" w:type="dxa"/>
            </w:tcMar>
          </w:tcPr>
          <w:p w14:paraId="4F945CC8" w14:textId="77777777" w:rsidR="000553D9" w:rsidRDefault="008D6059">
            <w:pPr>
              <w:pStyle w:val="Normal1"/>
            </w:pPr>
            <w:r>
              <w:t>Dialogue about the results of all program reviews is evident throughout the institution as part of the discussion of institutional effectiveness.</w:t>
            </w:r>
          </w:p>
        </w:tc>
        <w:tc>
          <w:tcPr>
            <w:tcW w:w="5490" w:type="dxa"/>
            <w:tcMar>
              <w:top w:w="100" w:type="dxa"/>
              <w:left w:w="108" w:type="dxa"/>
              <w:bottom w:w="100" w:type="dxa"/>
              <w:right w:w="108" w:type="dxa"/>
            </w:tcMar>
          </w:tcPr>
          <w:p w14:paraId="09B84DEF" w14:textId="77777777" w:rsidR="000553D9" w:rsidRDefault="008D6059">
            <w:pPr>
              <w:pStyle w:val="Normal1"/>
            </w:pPr>
            <w:r>
              <w:t>Dialogue about program review results has been part of the master planning process since 2011 (see row 2 of this table for more details). Dialogue about program review results is also evident in the College’s instructional hiring process.</w:t>
            </w:r>
          </w:p>
        </w:tc>
      </w:tr>
      <w:tr w:rsidR="000553D9" w14:paraId="7DB49B43" w14:textId="77777777">
        <w:tc>
          <w:tcPr>
            <w:tcW w:w="3150" w:type="dxa"/>
            <w:tcMar>
              <w:top w:w="100" w:type="dxa"/>
              <w:left w:w="108" w:type="dxa"/>
              <w:bottom w:w="100" w:type="dxa"/>
              <w:right w:w="108" w:type="dxa"/>
            </w:tcMar>
          </w:tcPr>
          <w:p w14:paraId="560B9710" w14:textId="77777777" w:rsidR="000553D9" w:rsidRDefault="008D6059">
            <w:pPr>
              <w:pStyle w:val="Normal1"/>
            </w:pPr>
            <w:r>
              <w:t>Results of program review are clearly and consistently linked to institutional planning processes and resource allocation processes; college can demonstrate or provide specific examples.</w:t>
            </w:r>
          </w:p>
        </w:tc>
        <w:tc>
          <w:tcPr>
            <w:tcW w:w="5490" w:type="dxa"/>
            <w:tcMar>
              <w:top w:w="100" w:type="dxa"/>
              <w:left w:w="108" w:type="dxa"/>
              <w:bottom w:w="100" w:type="dxa"/>
              <w:right w:w="108" w:type="dxa"/>
            </w:tcMar>
          </w:tcPr>
          <w:p w14:paraId="15AF35EE" w14:textId="77777777" w:rsidR="000553D9" w:rsidRDefault="008D6059">
            <w:pPr>
              <w:pStyle w:val="Normal1"/>
            </w:pPr>
            <w:r>
              <w:t xml:space="preserve">See rows 2 and 3 of this table for details about program review results in planning. Regarding resource allocation, program review includes program plans which generate resource requests. Resource requests are validated according to the strength of their relationship to plans and student learning outcomes, </w:t>
            </w:r>
            <w:proofErr w:type="gramStart"/>
            <w:r>
              <w:t>then</w:t>
            </w:r>
            <w:proofErr w:type="gramEnd"/>
            <w:r>
              <w:t xml:space="preserve"> prioritized by the College’s governance process. Examples of changes from program review leading to improvements are listed in summary reports [Ref. 1-8, 1-9]. Examples of program review leading to funded resource requests are also available [Ref. 1-7].</w:t>
            </w:r>
          </w:p>
        </w:tc>
      </w:tr>
      <w:tr w:rsidR="000553D9" w14:paraId="05175C3A" w14:textId="77777777">
        <w:tc>
          <w:tcPr>
            <w:tcW w:w="3150" w:type="dxa"/>
            <w:tcMar>
              <w:top w:w="100" w:type="dxa"/>
              <w:left w:w="108" w:type="dxa"/>
              <w:bottom w:w="100" w:type="dxa"/>
              <w:right w:w="108" w:type="dxa"/>
            </w:tcMar>
          </w:tcPr>
          <w:p w14:paraId="14B55533" w14:textId="77777777" w:rsidR="000553D9" w:rsidRDefault="008D6059">
            <w:pPr>
              <w:pStyle w:val="Normal1"/>
            </w:pPr>
            <w:r>
              <w:t>The institution evaluates the effectiveness of its program review processes in supporting and improving student achievement and student learning outcomes.</w:t>
            </w:r>
          </w:p>
        </w:tc>
        <w:tc>
          <w:tcPr>
            <w:tcW w:w="5490" w:type="dxa"/>
            <w:tcMar>
              <w:top w:w="100" w:type="dxa"/>
              <w:left w:w="108" w:type="dxa"/>
              <w:bottom w:w="100" w:type="dxa"/>
              <w:right w:w="108" w:type="dxa"/>
            </w:tcMar>
          </w:tcPr>
          <w:p w14:paraId="0B9242BF" w14:textId="77777777" w:rsidR="000553D9" w:rsidRDefault="008D6059">
            <w:pPr>
              <w:pStyle w:val="Normal1"/>
            </w:pPr>
            <w:r>
              <w:t>Program review is formally evaluated every year. Evaluation reports are available for 2010-2011 [Ref. 1-11] and 2011-2012 [Ref. 1-7]; the evaluation has not been completed yet for 2012-2013. Evaluation is focused on how program review supports and improves student achievement and student learning. The evaluation process includes objective outcome measures and more subjective assessments from the Program Review Committee.</w:t>
            </w:r>
          </w:p>
        </w:tc>
      </w:tr>
      <w:tr w:rsidR="000553D9" w14:paraId="39393083" w14:textId="77777777">
        <w:tc>
          <w:tcPr>
            <w:tcW w:w="3150" w:type="dxa"/>
            <w:shd w:val="clear" w:color="auto" w:fill="D9D9D9"/>
            <w:tcMar>
              <w:top w:w="100" w:type="dxa"/>
              <w:left w:w="108" w:type="dxa"/>
              <w:bottom w:w="100" w:type="dxa"/>
              <w:right w:w="108" w:type="dxa"/>
            </w:tcMar>
          </w:tcPr>
          <w:p w14:paraId="6C39D171" w14:textId="77777777" w:rsidR="000553D9" w:rsidRDefault="000553D9">
            <w:pPr>
              <w:pStyle w:val="Normal1"/>
            </w:pPr>
          </w:p>
          <w:p w14:paraId="0124DAFC" w14:textId="77777777" w:rsidR="000553D9" w:rsidRDefault="008D6059">
            <w:pPr>
              <w:pStyle w:val="Normal1"/>
              <w:spacing w:after="200"/>
            </w:pPr>
            <w:r>
              <w:rPr>
                <w:b/>
              </w:rPr>
              <w:t xml:space="preserve">Program Review Items at </w:t>
            </w:r>
            <w:r>
              <w:rPr>
                <w:b/>
                <w:i/>
              </w:rPr>
              <w:t>Sustainable Continuous Quality Improvement</w:t>
            </w:r>
            <w:r>
              <w:rPr>
                <w:b/>
              </w:rPr>
              <w:t xml:space="preserve"> Level</w:t>
            </w:r>
          </w:p>
        </w:tc>
        <w:tc>
          <w:tcPr>
            <w:tcW w:w="5490" w:type="dxa"/>
            <w:shd w:val="clear" w:color="auto" w:fill="D9D9D9"/>
            <w:tcMar>
              <w:top w:w="100" w:type="dxa"/>
              <w:left w:w="108" w:type="dxa"/>
              <w:bottom w:w="100" w:type="dxa"/>
              <w:right w:w="108" w:type="dxa"/>
            </w:tcMar>
          </w:tcPr>
          <w:p w14:paraId="7DF19DA1" w14:textId="77777777" w:rsidR="000553D9" w:rsidRDefault="000553D9">
            <w:pPr>
              <w:pStyle w:val="Normal1"/>
              <w:spacing w:after="200"/>
            </w:pPr>
          </w:p>
        </w:tc>
      </w:tr>
      <w:tr w:rsidR="000553D9" w14:paraId="483C89AC" w14:textId="77777777">
        <w:tc>
          <w:tcPr>
            <w:tcW w:w="3150" w:type="dxa"/>
            <w:shd w:val="clear" w:color="auto" w:fill="D9D9D9"/>
            <w:tcMar>
              <w:top w:w="100" w:type="dxa"/>
              <w:left w:w="108" w:type="dxa"/>
              <w:bottom w:w="100" w:type="dxa"/>
              <w:right w:w="108" w:type="dxa"/>
            </w:tcMar>
          </w:tcPr>
          <w:p w14:paraId="6206DCBE" w14:textId="77777777" w:rsidR="000553D9" w:rsidRDefault="008D6059">
            <w:pPr>
              <w:pStyle w:val="Normal1"/>
            </w:pPr>
            <w:r>
              <w:rPr>
                <w:b/>
              </w:rPr>
              <w:t>Rubric Item</w:t>
            </w:r>
          </w:p>
        </w:tc>
        <w:tc>
          <w:tcPr>
            <w:tcW w:w="5490" w:type="dxa"/>
            <w:shd w:val="clear" w:color="auto" w:fill="D9D9D9"/>
            <w:tcMar>
              <w:top w:w="100" w:type="dxa"/>
              <w:left w:w="108" w:type="dxa"/>
              <w:bottom w:w="100" w:type="dxa"/>
              <w:right w:w="108" w:type="dxa"/>
            </w:tcMar>
          </w:tcPr>
          <w:p w14:paraId="3C4F45FB" w14:textId="77777777" w:rsidR="000553D9" w:rsidRDefault="008D6059">
            <w:pPr>
              <w:pStyle w:val="Normal1"/>
            </w:pPr>
            <w:r>
              <w:rPr>
                <w:b/>
              </w:rPr>
              <w:t>College Progress</w:t>
            </w:r>
          </w:p>
        </w:tc>
      </w:tr>
      <w:tr w:rsidR="000553D9" w14:paraId="3721782E" w14:textId="77777777">
        <w:tc>
          <w:tcPr>
            <w:tcW w:w="3150" w:type="dxa"/>
            <w:tcMar>
              <w:top w:w="100" w:type="dxa"/>
              <w:left w:w="108" w:type="dxa"/>
              <w:bottom w:w="100" w:type="dxa"/>
              <w:right w:w="108" w:type="dxa"/>
            </w:tcMar>
          </w:tcPr>
          <w:p w14:paraId="557A5D01" w14:textId="77777777" w:rsidR="000553D9" w:rsidRDefault="008D6059">
            <w:pPr>
              <w:pStyle w:val="Normal1"/>
            </w:pPr>
            <w:r>
              <w:t xml:space="preserve">Program review processes are ongoing, systematic and </w:t>
            </w:r>
            <w:r>
              <w:lastRenderedPageBreak/>
              <w:t>used to assess and improve student learning and achievement.</w:t>
            </w:r>
          </w:p>
        </w:tc>
        <w:tc>
          <w:tcPr>
            <w:tcW w:w="5490" w:type="dxa"/>
            <w:tcMar>
              <w:top w:w="100" w:type="dxa"/>
              <w:left w:w="108" w:type="dxa"/>
              <w:bottom w:w="100" w:type="dxa"/>
              <w:right w:w="108" w:type="dxa"/>
            </w:tcMar>
          </w:tcPr>
          <w:p w14:paraId="524EE12E" w14:textId="77777777" w:rsidR="000553D9" w:rsidRDefault="008D6059">
            <w:pPr>
              <w:pStyle w:val="Normal1"/>
            </w:pPr>
            <w:r>
              <w:lastRenderedPageBreak/>
              <w:t xml:space="preserve">Program review is conducted annually. The process is systematic and well defined for each type of program </w:t>
            </w:r>
            <w:r>
              <w:lastRenderedPageBreak/>
              <w:t>(instructional, student services, and administrative). It includes assessments of student learning outcomes and achievement measures.</w:t>
            </w:r>
          </w:p>
        </w:tc>
      </w:tr>
      <w:tr w:rsidR="000553D9" w14:paraId="6F27B43A" w14:textId="77777777">
        <w:tc>
          <w:tcPr>
            <w:tcW w:w="3150" w:type="dxa"/>
            <w:tcMar>
              <w:top w:w="100" w:type="dxa"/>
              <w:left w:w="108" w:type="dxa"/>
              <w:bottom w:w="100" w:type="dxa"/>
              <w:right w:w="108" w:type="dxa"/>
            </w:tcMar>
          </w:tcPr>
          <w:p w14:paraId="1A0C47B8" w14:textId="77777777" w:rsidR="000553D9" w:rsidRDefault="008D6059">
            <w:pPr>
              <w:pStyle w:val="Normal1"/>
            </w:pPr>
            <w:r>
              <w:lastRenderedPageBreak/>
              <w:t>The institution reviews and refines its program review processes to improve institutional effectiveness.</w:t>
            </w:r>
          </w:p>
        </w:tc>
        <w:tc>
          <w:tcPr>
            <w:tcW w:w="5490" w:type="dxa"/>
            <w:tcMar>
              <w:top w:w="100" w:type="dxa"/>
              <w:left w:w="108" w:type="dxa"/>
              <w:bottom w:w="100" w:type="dxa"/>
              <w:right w:w="108" w:type="dxa"/>
            </w:tcMar>
          </w:tcPr>
          <w:p w14:paraId="64280A80" w14:textId="77777777" w:rsidR="000553D9" w:rsidRDefault="008D6059">
            <w:pPr>
              <w:pStyle w:val="Normal1"/>
            </w:pPr>
            <w:r>
              <w:t>The program review process is formally evaluated every year [Ref. 1-7, 1-11]. Changes are suggested as part of the evaluation, and changes to the process are implemented by the Program Review Committee.</w:t>
            </w:r>
          </w:p>
        </w:tc>
      </w:tr>
      <w:tr w:rsidR="000553D9" w14:paraId="2C1BA1CF" w14:textId="77777777">
        <w:tc>
          <w:tcPr>
            <w:tcW w:w="3150" w:type="dxa"/>
            <w:tcMar>
              <w:top w:w="100" w:type="dxa"/>
              <w:left w:w="108" w:type="dxa"/>
              <w:bottom w:w="100" w:type="dxa"/>
              <w:right w:w="108" w:type="dxa"/>
            </w:tcMar>
          </w:tcPr>
          <w:p w14:paraId="613A0C34" w14:textId="77777777" w:rsidR="000553D9" w:rsidRDefault="008D6059">
            <w:pPr>
              <w:pStyle w:val="Normal1"/>
            </w:pPr>
            <w:r>
              <w:t>The results of program review are used continually to refine and improve program practices, resulting in improvements in student achievement and learning.</w:t>
            </w:r>
          </w:p>
        </w:tc>
        <w:tc>
          <w:tcPr>
            <w:tcW w:w="5490" w:type="dxa"/>
            <w:tcMar>
              <w:top w:w="100" w:type="dxa"/>
              <w:left w:w="108" w:type="dxa"/>
              <w:bottom w:w="100" w:type="dxa"/>
              <w:right w:w="108" w:type="dxa"/>
            </w:tcMar>
          </w:tcPr>
          <w:p w14:paraId="0AF31FE7" w14:textId="77777777" w:rsidR="000553D9" w:rsidRDefault="008D6059">
            <w:pPr>
              <w:pStyle w:val="Normal1"/>
            </w:pPr>
            <w:r>
              <w:t>Program review results are used annually to inform planning and to allocate resources to programs, leading to improved program practices and improved student achievement and learning. Examples of changes from program review leading to improvements are listed in summary reports [Ref. 1-8, 1-9]. Examples of program review leading to funded resource requests are also available [Ref. 1-7].</w:t>
            </w:r>
          </w:p>
        </w:tc>
      </w:tr>
      <w:tr w:rsidR="000553D9" w14:paraId="1523AF35" w14:textId="77777777">
        <w:tc>
          <w:tcPr>
            <w:tcW w:w="3150" w:type="dxa"/>
            <w:shd w:val="clear" w:color="auto" w:fill="D9D9D9"/>
            <w:tcMar>
              <w:top w:w="100" w:type="dxa"/>
              <w:left w:w="108" w:type="dxa"/>
              <w:bottom w:w="100" w:type="dxa"/>
              <w:right w:w="108" w:type="dxa"/>
            </w:tcMar>
          </w:tcPr>
          <w:p w14:paraId="3B1B4137" w14:textId="77777777" w:rsidR="000553D9" w:rsidRDefault="000553D9">
            <w:pPr>
              <w:pStyle w:val="Normal1"/>
            </w:pPr>
          </w:p>
          <w:p w14:paraId="1FA1AB9B" w14:textId="77777777" w:rsidR="000553D9" w:rsidRDefault="008D6059">
            <w:pPr>
              <w:pStyle w:val="Normal1"/>
              <w:spacing w:after="200"/>
            </w:pPr>
            <w:r>
              <w:rPr>
                <w:b/>
              </w:rPr>
              <w:t xml:space="preserve">Planning Items at </w:t>
            </w:r>
            <w:r>
              <w:rPr>
                <w:b/>
                <w:i/>
              </w:rPr>
              <w:t>Proficiency</w:t>
            </w:r>
            <w:r>
              <w:rPr>
                <w:b/>
              </w:rPr>
              <w:t xml:space="preserve"> Level</w:t>
            </w:r>
          </w:p>
        </w:tc>
        <w:tc>
          <w:tcPr>
            <w:tcW w:w="5490" w:type="dxa"/>
            <w:shd w:val="clear" w:color="auto" w:fill="D9D9D9"/>
            <w:tcMar>
              <w:top w:w="100" w:type="dxa"/>
              <w:left w:w="108" w:type="dxa"/>
              <w:bottom w:w="100" w:type="dxa"/>
              <w:right w:w="108" w:type="dxa"/>
            </w:tcMar>
          </w:tcPr>
          <w:p w14:paraId="18411DDF" w14:textId="77777777" w:rsidR="000553D9" w:rsidRDefault="000553D9">
            <w:pPr>
              <w:pStyle w:val="Normal1"/>
              <w:spacing w:after="200"/>
            </w:pPr>
          </w:p>
        </w:tc>
      </w:tr>
      <w:tr w:rsidR="000553D9" w14:paraId="56746DED" w14:textId="77777777">
        <w:tc>
          <w:tcPr>
            <w:tcW w:w="3150" w:type="dxa"/>
            <w:shd w:val="clear" w:color="auto" w:fill="D9D9D9"/>
            <w:tcMar>
              <w:top w:w="100" w:type="dxa"/>
              <w:left w:w="108" w:type="dxa"/>
              <w:bottom w:w="100" w:type="dxa"/>
              <w:right w:w="108" w:type="dxa"/>
            </w:tcMar>
          </w:tcPr>
          <w:p w14:paraId="15054AC4" w14:textId="77777777" w:rsidR="000553D9" w:rsidRDefault="008D6059">
            <w:pPr>
              <w:pStyle w:val="Normal1"/>
            </w:pPr>
            <w:r>
              <w:rPr>
                <w:b/>
              </w:rPr>
              <w:t>Rubric Item</w:t>
            </w:r>
          </w:p>
        </w:tc>
        <w:tc>
          <w:tcPr>
            <w:tcW w:w="5490" w:type="dxa"/>
            <w:shd w:val="clear" w:color="auto" w:fill="D9D9D9"/>
            <w:tcMar>
              <w:top w:w="100" w:type="dxa"/>
              <w:left w:w="108" w:type="dxa"/>
              <w:bottom w:w="100" w:type="dxa"/>
              <w:right w:w="108" w:type="dxa"/>
            </w:tcMar>
          </w:tcPr>
          <w:p w14:paraId="0711F1C3" w14:textId="77777777" w:rsidR="000553D9" w:rsidRDefault="008D6059">
            <w:pPr>
              <w:pStyle w:val="Normal1"/>
            </w:pPr>
            <w:r>
              <w:rPr>
                <w:b/>
              </w:rPr>
              <w:t>College Progress</w:t>
            </w:r>
          </w:p>
        </w:tc>
      </w:tr>
      <w:tr w:rsidR="000553D9" w14:paraId="59AE435C" w14:textId="77777777">
        <w:tc>
          <w:tcPr>
            <w:tcW w:w="3150" w:type="dxa"/>
            <w:tcMar>
              <w:top w:w="100" w:type="dxa"/>
              <w:left w:w="108" w:type="dxa"/>
              <w:bottom w:w="100" w:type="dxa"/>
              <w:right w:w="108" w:type="dxa"/>
            </w:tcMar>
          </w:tcPr>
          <w:p w14:paraId="4BA9FDC1" w14:textId="77777777" w:rsidR="000553D9" w:rsidRDefault="008D6059">
            <w:pPr>
              <w:pStyle w:val="Normal1"/>
            </w:pPr>
            <w:r>
              <w:t xml:space="preserve">The college has a </w:t>
            </w:r>
            <w:proofErr w:type="spellStart"/>
            <w:r>
              <w:t>well documented</w:t>
            </w:r>
            <w:proofErr w:type="spellEnd"/>
            <w:r>
              <w:t>, ongoing process for evaluating itself in all areas of operation, for analyzing and publishing the results, and for planning and implementing improvements</w:t>
            </w:r>
          </w:p>
        </w:tc>
        <w:tc>
          <w:tcPr>
            <w:tcW w:w="5490" w:type="dxa"/>
            <w:tcMar>
              <w:top w:w="100" w:type="dxa"/>
              <w:left w:w="108" w:type="dxa"/>
              <w:bottom w:w="100" w:type="dxa"/>
              <w:right w:w="108" w:type="dxa"/>
            </w:tcMar>
          </w:tcPr>
          <w:p w14:paraId="5378BB17" w14:textId="77777777" w:rsidR="000553D9" w:rsidRDefault="008D6059">
            <w:pPr>
              <w:pStyle w:val="Normal1"/>
            </w:pPr>
            <w:r>
              <w:t>Program review is the primary process for self-evaluation. Program review is well documented and ongoing, as it is conducted annually for all instructional, student services, and administrative programs.</w:t>
            </w:r>
          </w:p>
        </w:tc>
      </w:tr>
      <w:tr w:rsidR="000553D9" w14:paraId="3E8799AE" w14:textId="77777777">
        <w:tc>
          <w:tcPr>
            <w:tcW w:w="3150" w:type="dxa"/>
            <w:tcMar>
              <w:top w:w="100" w:type="dxa"/>
              <w:left w:w="108" w:type="dxa"/>
              <w:bottom w:w="100" w:type="dxa"/>
              <w:right w:w="108" w:type="dxa"/>
            </w:tcMar>
          </w:tcPr>
          <w:p w14:paraId="0D5B10BE" w14:textId="77777777" w:rsidR="000553D9" w:rsidRDefault="008D6059">
            <w:pPr>
              <w:pStyle w:val="Normal1"/>
            </w:pPr>
            <w:r>
              <w:t>The institution’s component plans are integrated into a comprehensive plan to achieve broad educational purposes and to improve institutional effectiveness.</w:t>
            </w:r>
          </w:p>
        </w:tc>
        <w:tc>
          <w:tcPr>
            <w:tcW w:w="5490" w:type="dxa"/>
            <w:tcMar>
              <w:top w:w="100" w:type="dxa"/>
              <w:left w:w="108" w:type="dxa"/>
              <w:bottom w:w="100" w:type="dxa"/>
              <w:right w:w="108" w:type="dxa"/>
            </w:tcMar>
          </w:tcPr>
          <w:p w14:paraId="799E0736" w14:textId="77777777" w:rsidR="000553D9" w:rsidRDefault="008D6059">
            <w:pPr>
              <w:pStyle w:val="Normal1"/>
            </w:pPr>
            <w:r>
              <w:t>Component plans are required to address the overarching goals of the Educational Master Plan. The pyramid diagram in Figure 1-2 of this report illustrates the relationship between component plans, the Educational Master Plan, and the College mission statement.</w:t>
            </w:r>
          </w:p>
        </w:tc>
      </w:tr>
      <w:tr w:rsidR="000553D9" w14:paraId="6D05AADA" w14:textId="77777777">
        <w:tc>
          <w:tcPr>
            <w:tcW w:w="3150" w:type="dxa"/>
            <w:tcMar>
              <w:top w:w="100" w:type="dxa"/>
              <w:left w:w="108" w:type="dxa"/>
              <w:bottom w:w="100" w:type="dxa"/>
              <w:right w:w="108" w:type="dxa"/>
            </w:tcMar>
          </w:tcPr>
          <w:p w14:paraId="731F73D0" w14:textId="77777777" w:rsidR="000553D9" w:rsidRDefault="008D6059">
            <w:pPr>
              <w:pStyle w:val="Normal1"/>
            </w:pPr>
            <w:r>
              <w:t xml:space="preserve">The institution effectively uses its human, physical, technology, and financial resources to achieve its broad educational purposes, </w:t>
            </w:r>
            <w:r>
              <w:lastRenderedPageBreak/>
              <w:t>including stated student learning outcomes.</w:t>
            </w:r>
          </w:p>
        </w:tc>
        <w:tc>
          <w:tcPr>
            <w:tcW w:w="5490" w:type="dxa"/>
            <w:tcMar>
              <w:top w:w="100" w:type="dxa"/>
              <w:left w:w="108" w:type="dxa"/>
              <w:bottom w:w="100" w:type="dxa"/>
              <w:right w:w="108" w:type="dxa"/>
            </w:tcMar>
          </w:tcPr>
          <w:p w14:paraId="18AAD6F8" w14:textId="77777777" w:rsidR="000553D9" w:rsidRDefault="008D6059">
            <w:pPr>
              <w:pStyle w:val="Normal1"/>
            </w:pPr>
            <w:r>
              <w:lastRenderedPageBreak/>
              <w:t xml:space="preserve">Through the integrated planning, program review, and resource allocation system, resources are allocated to achieve the College’s goals, including learning outcomes. Resource requests--including requests for human resources, physical resources, technology </w:t>
            </w:r>
            <w:r>
              <w:lastRenderedPageBreak/>
              <w:t>resources, and fiscal resources--are generated through program review, which incorporates program and College goals as well as student achievement data and student learning outcomes. Resource requests are validated according to their relationship with College plans and learning outcomes; only validated requests are prioritized for funding. The system works toward allocating all types of resources that are focused on established goals, purposes, and learning outcomes.</w:t>
            </w:r>
          </w:p>
        </w:tc>
      </w:tr>
      <w:tr w:rsidR="000553D9" w14:paraId="0AFEFE90" w14:textId="77777777">
        <w:tc>
          <w:tcPr>
            <w:tcW w:w="3150" w:type="dxa"/>
            <w:tcMar>
              <w:top w:w="100" w:type="dxa"/>
              <w:left w:w="108" w:type="dxa"/>
              <w:bottom w:w="100" w:type="dxa"/>
              <w:right w:w="108" w:type="dxa"/>
            </w:tcMar>
          </w:tcPr>
          <w:p w14:paraId="0D786755" w14:textId="77777777" w:rsidR="000553D9" w:rsidRDefault="008D6059">
            <w:pPr>
              <w:pStyle w:val="Normal1"/>
            </w:pPr>
            <w:r>
              <w:lastRenderedPageBreak/>
              <w:t>The college has documented assessment results and communicated matters of quality assurance to appropriate constituencies (documents data and analysis of achievement of its educational mission).</w:t>
            </w:r>
          </w:p>
        </w:tc>
        <w:tc>
          <w:tcPr>
            <w:tcW w:w="5490" w:type="dxa"/>
            <w:tcMar>
              <w:top w:w="100" w:type="dxa"/>
              <w:left w:w="108" w:type="dxa"/>
              <w:bottom w:w="100" w:type="dxa"/>
              <w:right w:w="108" w:type="dxa"/>
            </w:tcMar>
          </w:tcPr>
          <w:p w14:paraId="5F20DE5A" w14:textId="77777777" w:rsidR="000553D9" w:rsidRDefault="008D6059">
            <w:pPr>
              <w:pStyle w:val="Normal1"/>
            </w:pPr>
            <w:r>
              <w:t>Assessment results are published on the College website. The annual Institutional Effectiveness Report collects data on collegewide outcome measures related to the institutional mission. Presentations documenting accountability reports are made annually to the Board of Trustees.</w:t>
            </w:r>
          </w:p>
        </w:tc>
      </w:tr>
      <w:tr w:rsidR="000553D9" w14:paraId="2C6AA7C1" w14:textId="77777777">
        <w:tc>
          <w:tcPr>
            <w:tcW w:w="3150" w:type="dxa"/>
            <w:tcMar>
              <w:top w:w="100" w:type="dxa"/>
              <w:left w:w="108" w:type="dxa"/>
              <w:bottom w:w="100" w:type="dxa"/>
              <w:right w:w="108" w:type="dxa"/>
            </w:tcMar>
          </w:tcPr>
          <w:p w14:paraId="737881F2" w14:textId="77777777" w:rsidR="000553D9" w:rsidRDefault="008D6059">
            <w:pPr>
              <w:pStyle w:val="Normal1"/>
            </w:pPr>
            <w:r>
              <w:t>The institution assesses progress toward achieving its educational goals over time (uses longitudinal data and analyses).</w:t>
            </w:r>
          </w:p>
        </w:tc>
        <w:tc>
          <w:tcPr>
            <w:tcW w:w="5490" w:type="dxa"/>
            <w:tcMar>
              <w:top w:w="100" w:type="dxa"/>
              <w:left w:w="108" w:type="dxa"/>
              <w:bottom w:w="100" w:type="dxa"/>
              <w:right w:w="108" w:type="dxa"/>
            </w:tcMar>
          </w:tcPr>
          <w:p w14:paraId="711E247C" w14:textId="77777777" w:rsidR="000553D9" w:rsidRDefault="008D6059">
            <w:pPr>
              <w:pStyle w:val="Normal1"/>
            </w:pPr>
            <w:r>
              <w:t>Trend data are included in the annual Institutional Effectiveness Report, allowing the College to assess progress over time on collegewide outcome measures. Other reports also include trend data and many reports include longitudinal data tracking the same individual students over time.</w:t>
            </w:r>
          </w:p>
        </w:tc>
      </w:tr>
      <w:tr w:rsidR="000553D9" w14:paraId="348CAFB0" w14:textId="77777777">
        <w:tc>
          <w:tcPr>
            <w:tcW w:w="3150" w:type="dxa"/>
            <w:tcMar>
              <w:top w:w="100" w:type="dxa"/>
              <w:left w:w="108" w:type="dxa"/>
              <w:bottom w:w="100" w:type="dxa"/>
              <w:right w:w="108" w:type="dxa"/>
            </w:tcMar>
          </w:tcPr>
          <w:p w14:paraId="12B25096" w14:textId="77777777" w:rsidR="000553D9" w:rsidRDefault="008D6059">
            <w:pPr>
              <w:pStyle w:val="Normal1"/>
            </w:pPr>
            <w:r>
              <w:t>The institution plans and effectively incorporates results of program review in all areas of educational services: instruction, support services, library and learning resources.</w:t>
            </w:r>
          </w:p>
        </w:tc>
        <w:tc>
          <w:tcPr>
            <w:tcW w:w="5490" w:type="dxa"/>
            <w:tcMar>
              <w:top w:w="100" w:type="dxa"/>
              <w:left w:w="108" w:type="dxa"/>
              <w:bottom w:w="100" w:type="dxa"/>
              <w:right w:w="108" w:type="dxa"/>
            </w:tcMar>
          </w:tcPr>
          <w:p w14:paraId="5DCA4A2E" w14:textId="52D7D515" w:rsidR="000553D9" w:rsidRDefault="008D6059">
            <w:pPr>
              <w:pStyle w:val="Normal1"/>
            </w:pPr>
            <w:r>
              <w:t xml:space="preserve">Program review is conducted annually in all instructional, student services, and administrative areas including the library and learning resources. The results of program review have been used for program improvement; see </w:t>
            </w:r>
            <w:r w:rsidR="003758FA">
              <w:t>[</w:t>
            </w:r>
            <w:r>
              <w:t>Ref. 1-8</w:t>
            </w:r>
            <w:r w:rsidR="003758FA">
              <w:t>]</w:t>
            </w:r>
            <w:r>
              <w:t xml:space="preserve"> for examples.</w:t>
            </w:r>
          </w:p>
        </w:tc>
      </w:tr>
      <w:tr w:rsidR="000553D9" w14:paraId="66C60D7F" w14:textId="77777777">
        <w:tc>
          <w:tcPr>
            <w:tcW w:w="3150" w:type="dxa"/>
            <w:shd w:val="clear" w:color="auto" w:fill="D9D9D9"/>
            <w:tcMar>
              <w:top w:w="100" w:type="dxa"/>
              <w:left w:w="108" w:type="dxa"/>
              <w:bottom w:w="100" w:type="dxa"/>
              <w:right w:w="108" w:type="dxa"/>
            </w:tcMar>
          </w:tcPr>
          <w:p w14:paraId="143CB8C6" w14:textId="77777777" w:rsidR="000553D9" w:rsidRDefault="000553D9">
            <w:pPr>
              <w:pStyle w:val="Normal1"/>
            </w:pPr>
          </w:p>
          <w:p w14:paraId="7889427E" w14:textId="77777777" w:rsidR="000553D9" w:rsidRDefault="008D6059">
            <w:pPr>
              <w:pStyle w:val="Normal1"/>
              <w:spacing w:after="200"/>
            </w:pPr>
            <w:r>
              <w:rPr>
                <w:b/>
              </w:rPr>
              <w:t xml:space="preserve">Planning Items at </w:t>
            </w:r>
            <w:r>
              <w:rPr>
                <w:b/>
                <w:i/>
              </w:rPr>
              <w:t>Sustainable Continuous Quality Improvement</w:t>
            </w:r>
            <w:r>
              <w:rPr>
                <w:b/>
              </w:rPr>
              <w:t xml:space="preserve"> Level</w:t>
            </w:r>
          </w:p>
        </w:tc>
        <w:tc>
          <w:tcPr>
            <w:tcW w:w="5490" w:type="dxa"/>
            <w:shd w:val="clear" w:color="auto" w:fill="D9D9D9"/>
            <w:tcMar>
              <w:top w:w="100" w:type="dxa"/>
              <w:left w:w="108" w:type="dxa"/>
              <w:bottom w:w="100" w:type="dxa"/>
              <w:right w:w="108" w:type="dxa"/>
            </w:tcMar>
          </w:tcPr>
          <w:p w14:paraId="44C8CF50" w14:textId="77777777" w:rsidR="000553D9" w:rsidRDefault="000553D9">
            <w:pPr>
              <w:pStyle w:val="Normal1"/>
              <w:spacing w:after="200"/>
            </w:pPr>
          </w:p>
        </w:tc>
      </w:tr>
      <w:tr w:rsidR="000553D9" w14:paraId="2B7BEED9" w14:textId="77777777">
        <w:tc>
          <w:tcPr>
            <w:tcW w:w="3150" w:type="dxa"/>
            <w:shd w:val="clear" w:color="auto" w:fill="D9D9D9"/>
            <w:tcMar>
              <w:top w:w="100" w:type="dxa"/>
              <w:left w:w="108" w:type="dxa"/>
              <w:bottom w:w="100" w:type="dxa"/>
              <w:right w:w="108" w:type="dxa"/>
            </w:tcMar>
          </w:tcPr>
          <w:p w14:paraId="5700AE62" w14:textId="77777777" w:rsidR="000553D9" w:rsidRDefault="008D6059">
            <w:pPr>
              <w:pStyle w:val="Normal1"/>
            </w:pPr>
            <w:r>
              <w:rPr>
                <w:b/>
              </w:rPr>
              <w:t>Rubric Item</w:t>
            </w:r>
          </w:p>
        </w:tc>
        <w:tc>
          <w:tcPr>
            <w:tcW w:w="5490" w:type="dxa"/>
            <w:shd w:val="clear" w:color="auto" w:fill="D9D9D9"/>
            <w:tcMar>
              <w:top w:w="100" w:type="dxa"/>
              <w:left w:w="108" w:type="dxa"/>
              <w:bottom w:w="100" w:type="dxa"/>
              <w:right w:w="108" w:type="dxa"/>
            </w:tcMar>
          </w:tcPr>
          <w:p w14:paraId="502EB8FF" w14:textId="77777777" w:rsidR="000553D9" w:rsidRDefault="008D6059">
            <w:pPr>
              <w:pStyle w:val="Normal1"/>
            </w:pPr>
            <w:r>
              <w:rPr>
                <w:b/>
              </w:rPr>
              <w:t>College Progress</w:t>
            </w:r>
          </w:p>
        </w:tc>
      </w:tr>
      <w:tr w:rsidR="000553D9" w14:paraId="6A1CB737" w14:textId="77777777">
        <w:tc>
          <w:tcPr>
            <w:tcW w:w="3150" w:type="dxa"/>
            <w:tcMar>
              <w:top w:w="100" w:type="dxa"/>
              <w:left w:w="108" w:type="dxa"/>
              <w:bottom w:w="100" w:type="dxa"/>
              <w:right w:w="108" w:type="dxa"/>
            </w:tcMar>
          </w:tcPr>
          <w:p w14:paraId="4C86B700" w14:textId="77777777" w:rsidR="000553D9" w:rsidRDefault="008D6059">
            <w:pPr>
              <w:pStyle w:val="Normal1"/>
            </w:pPr>
            <w:r>
              <w:t xml:space="preserve">The institution uses ongoing and systematic evaluation </w:t>
            </w:r>
            <w:r>
              <w:lastRenderedPageBreak/>
              <w:t>and planning to refine its key processes and improve student learning.</w:t>
            </w:r>
          </w:p>
        </w:tc>
        <w:tc>
          <w:tcPr>
            <w:tcW w:w="5490" w:type="dxa"/>
            <w:tcMar>
              <w:top w:w="100" w:type="dxa"/>
              <w:left w:w="108" w:type="dxa"/>
              <w:bottom w:w="100" w:type="dxa"/>
              <w:right w:w="108" w:type="dxa"/>
            </w:tcMar>
          </w:tcPr>
          <w:p w14:paraId="67274F5E" w14:textId="773932ED" w:rsidR="000553D9" w:rsidRDefault="008D6059">
            <w:pPr>
              <w:pStyle w:val="Normal1"/>
            </w:pPr>
            <w:r>
              <w:lastRenderedPageBreak/>
              <w:t xml:space="preserve">The College evaluates its planning, program review, and resource allocation processes annually (see Ref. </w:t>
            </w:r>
            <w:r>
              <w:lastRenderedPageBreak/>
              <w:t xml:space="preserve">1-7). The evaluation process was designed to be systematic. Evaluation of programs is conducted through the annual program review process, which focuses on the assessment of student learning. Examples of program evaluation leading to improved student learning are available in </w:t>
            </w:r>
            <w:r w:rsidR="003758FA">
              <w:t>[</w:t>
            </w:r>
            <w:r>
              <w:t>Ref. 1-8</w:t>
            </w:r>
            <w:r w:rsidR="003758FA">
              <w:t>]</w:t>
            </w:r>
            <w:r>
              <w:t>.</w:t>
            </w:r>
          </w:p>
        </w:tc>
      </w:tr>
      <w:tr w:rsidR="000553D9" w14:paraId="7515A949" w14:textId="77777777">
        <w:tc>
          <w:tcPr>
            <w:tcW w:w="3150" w:type="dxa"/>
            <w:tcMar>
              <w:top w:w="100" w:type="dxa"/>
              <w:left w:w="108" w:type="dxa"/>
              <w:bottom w:w="100" w:type="dxa"/>
              <w:right w:w="108" w:type="dxa"/>
            </w:tcMar>
          </w:tcPr>
          <w:p w14:paraId="6AADB2A9" w14:textId="77777777" w:rsidR="000553D9" w:rsidRDefault="008D6059">
            <w:pPr>
              <w:pStyle w:val="Normal1"/>
            </w:pPr>
            <w:r>
              <w:lastRenderedPageBreak/>
              <w:t>There is dialogue about institutional effectiveness that is ongoing, robust, and pervasive; data and analyses are widely distributed and used throughout the institution.</w:t>
            </w:r>
          </w:p>
        </w:tc>
        <w:tc>
          <w:tcPr>
            <w:tcW w:w="5490" w:type="dxa"/>
            <w:tcMar>
              <w:top w:w="100" w:type="dxa"/>
              <w:left w:w="108" w:type="dxa"/>
              <w:bottom w:w="100" w:type="dxa"/>
              <w:right w:w="108" w:type="dxa"/>
            </w:tcMar>
          </w:tcPr>
          <w:p w14:paraId="24ABFD00" w14:textId="3D165F0B" w:rsidR="000553D9" w:rsidRDefault="008D6059">
            <w:pPr>
              <w:pStyle w:val="Normal1"/>
            </w:pPr>
            <w:r>
              <w:t xml:space="preserve">Evidence of pervasive dialogue about institutional effectiveness includes minutes </w:t>
            </w:r>
            <w:r w:rsidR="003758FA">
              <w:t xml:space="preserve">and other documents </w:t>
            </w:r>
            <w:r>
              <w:t>of planning meetings [Ref. 1-3, 1-8, 1-9]. Examples of data distributed and used widely throughout the institution include the annual Campus Profile, Student Views, Campus Views, Institutional Effectiveness Report, and Accountability Report [Ref. 1-12, 1-13, 1-14, 1-15, 1-16]</w:t>
            </w:r>
          </w:p>
        </w:tc>
      </w:tr>
      <w:tr w:rsidR="000553D9" w14:paraId="66630C86" w14:textId="77777777">
        <w:tc>
          <w:tcPr>
            <w:tcW w:w="3150" w:type="dxa"/>
            <w:tcMar>
              <w:top w:w="100" w:type="dxa"/>
              <w:left w:w="108" w:type="dxa"/>
              <w:bottom w:w="100" w:type="dxa"/>
              <w:right w:w="108" w:type="dxa"/>
            </w:tcMar>
          </w:tcPr>
          <w:p w14:paraId="5B0C4FE0" w14:textId="77777777" w:rsidR="000553D9" w:rsidRDefault="008D6059">
            <w:pPr>
              <w:pStyle w:val="Normal1"/>
            </w:pPr>
            <w:r>
              <w:t>There is ongoing review and adaptation of evaluation and planning processes.</w:t>
            </w:r>
          </w:p>
        </w:tc>
        <w:tc>
          <w:tcPr>
            <w:tcW w:w="5490" w:type="dxa"/>
            <w:tcMar>
              <w:top w:w="100" w:type="dxa"/>
              <w:left w:w="108" w:type="dxa"/>
              <w:bottom w:w="100" w:type="dxa"/>
              <w:right w:w="108" w:type="dxa"/>
            </w:tcMar>
          </w:tcPr>
          <w:p w14:paraId="0261360C" w14:textId="77777777" w:rsidR="000553D9" w:rsidRDefault="008D6059">
            <w:pPr>
              <w:pStyle w:val="Normal1"/>
            </w:pPr>
            <w:r>
              <w:t>Program review, planning, and resource allocation are evaluated every year, resulting in changes to improve the processes. Improvements are documented in the Annual Evaluation reports. [Ref. 1-7, 1-11]</w:t>
            </w:r>
          </w:p>
        </w:tc>
      </w:tr>
      <w:tr w:rsidR="000553D9" w14:paraId="6E641A3D" w14:textId="77777777">
        <w:tc>
          <w:tcPr>
            <w:tcW w:w="3150" w:type="dxa"/>
            <w:tcMar>
              <w:top w:w="100" w:type="dxa"/>
              <w:left w:w="108" w:type="dxa"/>
              <w:bottom w:w="100" w:type="dxa"/>
              <w:right w:w="108" w:type="dxa"/>
            </w:tcMar>
          </w:tcPr>
          <w:p w14:paraId="00E46A4B" w14:textId="77777777" w:rsidR="000553D9" w:rsidRDefault="008D6059">
            <w:pPr>
              <w:pStyle w:val="Normal1"/>
            </w:pPr>
            <w:r>
              <w:t>There is consistent and continuous commitment to improving student learning; and educational effectiveness is a demonstrable priority in all planning structures and processes.</w:t>
            </w:r>
          </w:p>
        </w:tc>
        <w:tc>
          <w:tcPr>
            <w:tcW w:w="5490" w:type="dxa"/>
            <w:tcMar>
              <w:top w:w="100" w:type="dxa"/>
              <w:left w:w="108" w:type="dxa"/>
              <w:bottom w:w="100" w:type="dxa"/>
              <w:right w:w="108" w:type="dxa"/>
            </w:tcMar>
          </w:tcPr>
          <w:p w14:paraId="55CE8228" w14:textId="77777777" w:rsidR="000553D9" w:rsidRDefault="008D6059">
            <w:pPr>
              <w:pStyle w:val="Normal1"/>
            </w:pPr>
            <w:r>
              <w:t>The consistent, continuous commitment to improving student learning is reflected in the College’s mission statement. The College is drafting a revised mission statement, and the commitment to improving student learning is in both the previous statement and the new statement. Student learning and assessment are key components of the annual program review process and summaries of assessment results leading to improvement are included annually in master planning meetings. The reorganization of master planning (see page 10 of this report) includes student learning as a building block of program review, which in turn is a building block of the planning process with the Instructional Plan, the Student Services Master Plan, and the administrative plans.</w:t>
            </w:r>
          </w:p>
        </w:tc>
      </w:tr>
    </w:tbl>
    <w:p w14:paraId="114F7612" w14:textId="77777777" w:rsidR="000553D9" w:rsidRDefault="008D6059">
      <w:pPr>
        <w:pStyle w:val="Normal1"/>
      </w:pPr>
      <w:r>
        <w:br w:type="page"/>
      </w:r>
    </w:p>
    <w:p w14:paraId="30715733" w14:textId="77777777" w:rsidR="000553D9" w:rsidRDefault="000553D9">
      <w:pPr>
        <w:pStyle w:val="Normal1"/>
      </w:pPr>
    </w:p>
    <w:p w14:paraId="072AFE05" w14:textId="77777777" w:rsidR="000553D9" w:rsidRDefault="008D6059">
      <w:pPr>
        <w:pStyle w:val="Heading4"/>
      </w:pPr>
      <w:bookmarkStart w:id="5" w:name="h.h9xh5n41li2c" w:colFirst="0" w:colLast="0"/>
      <w:bookmarkEnd w:id="5"/>
      <w:r>
        <w:t>Recommendation 2</w:t>
      </w:r>
    </w:p>
    <w:p w14:paraId="175FCC07" w14:textId="77777777" w:rsidR="000553D9" w:rsidRDefault="000553D9">
      <w:pPr>
        <w:pStyle w:val="Normal1"/>
      </w:pPr>
    </w:p>
    <w:p w14:paraId="5122E396" w14:textId="77777777" w:rsidR="000553D9" w:rsidRDefault="008D6059">
      <w:pPr>
        <w:pStyle w:val="Normal1"/>
      </w:pPr>
      <w:r>
        <w:tab/>
      </w:r>
      <w:r>
        <w:tab/>
        <w:t xml:space="preserve"> </w:t>
      </w:r>
      <w:r>
        <w:tab/>
        <w:t xml:space="preserve"> </w:t>
      </w:r>
      <w:r>
        <w:tab/>
        <w:t xml:space="preserve"> </w:t>
      </w:r>
      <w:r>
        <w:tab/>
      </w:r>
      <w:r>
        <w:tab/>
      </w:r>
    </w:p>
    <w:p w14:paraId="4281D06D" w14:textId="77777777" w:rsidR="000553D9" w:rsidRDefault="008D6059">
      <w:pPr>
        <w:pStyle w:val="Normal1"/>
      </w:pPr>
      <w:r>
        <w:rPr>
          <w:i/>
        </w:rPr>
        <w:t xml:space="preserve">Recommendation 2: The team recommends that the institution accelerate its efforts to develop and implement Student Learning Outcomes (SLO) assessment measures at the course, program and institutional levels to ensure ongoing, systematic, data driven improvement of student learning in order to meet the proficiency level of the Institutional Effectiveness Rubric for Student Learning Outcomes by 2012. (Standards IIA.1.a, IIA.1.c, IIA.2.a, IIA.2.b, IIA.2.e). </w:t>
      </w:r>
    </w:p>
    <w:p w14:paraId="0925C4C3" w14:textId="77777777" w:rsidR="000553D9" w:rsidRDefault="000553D9">
      <w:pPr>
        <w:pStyle w:val="Normal1"/>
      </w:pPr>
    </w:p>
    <w:p w14:paraId="08FA142E" w14:textId="77777777" w:rsidR="000553D9" w:rsidRDefault="000553D9">
      <w:pPr>
        <w:pStyle w:val="Normal1"/>
      </w:pPr>
    </w:p>
    <w:p w14:paraId="7CE4EA0C" w14:textId="77777777" w:rsidR="000553D9" w:rsidRDefault="008D6059">
      <w:pPr>
        <w:pStyle w:val="Normal1"/>
      </w:pPr>
      <w:r>
        <w:rPr>
          <w:b/>
        </w:rPr>
        <w:t>Description of Institutional Response to Recommendation</w:t>
      </w:r>
    </w:p>
    <w:p w14:paraId="74F3B72E" w14:textId="77777777" w:rsidR="000553D9" w:rsidRDefault="000553D9">
      <w:pPr>
        <w:pStyle w:val="Normal1"/>
      </w:pPr>
    </w:p>
    <w:p w14:paraId="44C76469" w14:textId="77777777" w:rsidR="000553D9" w:rsidRDefault="008D6059">
      <w:pPr>
        <w:pStyle w:val="Normal1"/>
      </w:pPr>
      <w:r>
        <w:t>Glendale Community College has implemented Student Learning Outcomes (SLO) assessment measures at the course, program and institutional level to ensure ongoing systematic, data driven improvement. A great deal of work has been done to ensure that a system is in place to utilize SLO/outcome data as a primary source for improving student learning as well as informing decision-making for College planning and resource allocation [Ref. 2-1].</w:t>
      </w:r>
    </w:p>
    <w:p w14:paraId="3063DDFF" w14:textId="77777777" w:rsidR="000553D9" w:rsidRDefault="000553D9">
      <w:pPr>
        <w:pStyle w:val="Normal1"/>
      </w:pPr>
    </w:p>
    <w:p w14:paraId="02484EEA" w14:textId="77777777" w:rsidR="000553D9" w:rsidRDefault="008D6059">
      <w:pPr>
        <w:pStyle w:val="Normal1"/>
      </w:pPr>
      <w:r>
        <w:t>The Accreditation Commission rubric defines proficiency as:</w:t>
      </w:r>
    </w:p>
    <w:p w14:paraId="2B08213B" w14:textId="77777777" w:rsidR="000553D9" w:rsidRDefault="000553D9">
      <w:pPr>
        <w:pStyle w:val="Normal1"/>
      </w:pPr>
    </w:p>
    <w:p w14:paraId="71EF8D14" w14:textId="77777777" w:rsidR="000553D9" w:rsidRDefault="008D6059">
      <w:pPr>
        <w:pStyle w:val="Normal1"/>
        <w:numPr>
          <w:ilvl w:val="0"/>
          <w:numId w:val="12"/>
        </w:numPr>
        <w:ind w:hanging="359"/>
      </w:pPr>
      <w:r>
        <w:t>Student learning outcomes and authentic assessments are in place for courses, programs, support services, certificates and degrees.</w:t>
      </w:r>
    </w:p>
    <w:p w14:paraId="0E043566" w14:textId="77777777" w:rsidR="000553D9" w:rsidRDefault="008D6059">
      <w:pPr>
        <w:pStyle w:val="Normal1"/>
        <w:numPr>
          <w:ilvl w:val="0"/>
          <w:numId w:val="12"/>
        </w:numPr>
        <w:ind w:hanging="359"/>
      </w:pPr>
      <w:r>
        <w:t>There</w:t>
      </w:r>
      <w:r>
        <w:rPr>
          <w:color w:val="0000FF"/>
        </w:rPr>
        <w:t xml:space="preserve"> i</w:t>
      </w:r>
      <w:r>
        <w:t>s widespread institutional dialogue about the results of assessments and identification of gaps.</w:t>
      </w:r>
    </w:p>
    <w:p w14:paraId="52814AB8" w14:textId="77777777" w:rsidR="000553D9" w:rsidRDefault="008D6059">
      <w:pPr>
        <w:pStyle w:val="Normal1"/>
        <w:numPr>
          <w:ilvl w:val="0"/>
          <w:numId w:val="12"/>
        </w:numPr>
        <w:ind w:hanging="359"/>
      </w:pPr>
      <w:r>
        <w:t>Decision-making includes dialogue on the results of assessment and is purposefully directed toward aligning institution-wide practices to support and improve student learning.</w:t>
      </w:r>
    </w:p>
    <w:p w14:paraId="451C4551" w14:textId="77777777" w:rsidR="000553D9" w:rsidRDefault="008D6059">
      <w:pPr>
        <w:pStyle w:val="Normal1"/>
        <w:numPr>
          <w:ilvl w:val="0"/>
          <w:numId w:val="12"/>
        </w:numPr>
        <w:ind w:hanging="359"/>
      </w:pPr>
      <w:r>
        <w:t>Appropriate resources continue to be allocated and fine-tuned.</w:t>
      </w:r>
    </w:p>
    <w:p w14:paraId="689C1169" w14:textId="77777777" w:rsidR="000553D9" w:rsidRDefault="008D6059">
      <w:pPr>
        <w:pStyle w:val="Normal1"/>
        <w:numPr>
          <w:ilvl w:val="0"/>
          <w:numId w:val="12"/>
        </w:numPr>
        <w:ind w:hanging="359"/>
      </w:pPr>
      <w:r>
        <w:t>Comprehensive assessment reports exist and are completed and updated on a regular basis.</w:t>
      </w:r>
    </w:p>
    <w:p w14:paraId="4654D2F1" w14:textId="77777777" w:rsidR="000553D9" w:rsidRDefault="008D6059">
      <w:pPr>
        <w:pStyle w:val="Normal1"/>
        <w:numPr>
          <w:ilvl w:val="0"/>
          <w:numId w:val="12"/>
        </w:numPr>
        <w:ind w:hanging="359"/>
      </w:pPr>
      <w:r>
        <w:t>Course student learning outcomes are aligned with degree students learning outcomes.</w:t>
      </w:r>
    </w:p>
    <w:p w14:paraId="3F2D53AC" w14:textId="77777777" w:rsidR="000553D9" w:rsidRDefault="008D6059">
      <w:pPr>
        <w:pStyle w:val="Normal1"/>
        <w:numPr>
          <w:ilvl w:val="0"/>
          <w:numId w:val="12"/>
        </w:numPr>
        <w:ind w:hanging="359"/>
      </w:pPr>
      <w:r>
        <w:t>Students demonstrate awareness of goals and purposes of courses and programs in which they are enrolled.</w:t>
      </w:r>
    </w:p>
    <w:p w14:paraId="48EFCB72" w14:textId="77777777" w:rsidR="000553D9" w:rsidRDefault="008D6059">
      <w:pPr>
        <w:pStyle w:val="Normal1"/>
      </w:pPr>
      <w:r>
        <w:t xml:space="preserve"> </w:t>
      </w:r>
    </w:p>
    <w:p w14:paraId="325CA5B6" w14:textId="77777777" w:rsidR="000553D9" w:rsidRDefault="008D6059">
      <w:pPr>
        <w:pStyle w:val="Normal1"/>
      </w:pPr>
      <w:r>
        <w:t xml:space="preserve">Glendale Community College has a multi-tier system of utilizing data to inform decision making. The SLO/outcome data on student learning needs at the course and program levels are documented and reported via a revised program review process, which has gone from a 6-year cycle to an annual cycle [Ref. 2-2]. Therefore, qualitative and quantitative data on student learning needs to be systematically reported from divisions </w:t>
      </w:r>
      <w:r>
        <w:lastRenderedPageBreak/>
        <w:t>and programs on an annual basis. Divisions and programs must support all requests for resources with student learning outcome data and/or specific links to College plans and goals. Data from program review are used to initiate and validate requests for resources and personnel.</w:t>
      </w:r>
    </w:p>
    <w:p w14:paraId="274E1408" w14:textId="77777777" w:rsidR="000553D9" w:rsidRDefault="008D6059">
      <w:pPr>
        <w:pStyle w:val="Normal1"/>
      </w:pPr>
      <w:r>
        <w:t xml:space="preserve"> </w:t>
      </w:r>
    </w:p>
    <w:p w14:paraId="7963335F" w14:textId="77777777" w:rsidR="000553D9" w:rsidRDefault="008D6059">
      <w:pPr>
        <w:pStyle w:val="Normal1"/>
      </w:pPr>
      <w:r>
        <w:t>The curriculum approval process has been modified to incorporate SLO assessment measures in the justification for modification in course outlines and changes in program requirement or content. [Ref. 2-3]</w:t>
      </w:r>
    </w:p>
    <w:p w14:paraId="6DB6B3C0" w14:textId="77777777" w:rsidR="000553D9" w:rsidRDefault="008D6059">
      <w:pPr>
        <w:pStyle w:val="Normal1"/>
      </w:pPr>
      <w:r>
        <w:t xml:space="preserve"> </w:t>
      </w:r>
    </w:p>
    <w:p w14:paraId="151AD0DA" w14:textId="1ED4B450" w:rsidR="000553D9" w:rsidRDefault="008D6059">
      <w:pPr>
        <w:pStyle w:val="Normal1"/>
      </w:pPr>
      <w:r>
        <w:t>In order to address some deficiencies in the eLumen software system used to collect assessment data, which made some aspects of collection and reporting cumbersome, the College developed an in-house database system to monitor and house SLO assessment outcome data. Over the past several years, groups and individuals attempted to modify eLumen software to meet the College’s needs. While components of the system were implemented, assessment of the process demonstrated that our needs had changed and the College created a more user friendly database [Ref. 2-4</w:t>
      </w:r>
      <w:r w:rsidR="004848FC">
        <w:t>(a), 2-4(b)</w:t>
      </w:r>
      <w:r>
        <w:t>] that was implemented in fall 2012.</w:t>
      </w:r>
    </w:p>
    <w:p w14:paraId="40CAF7AA" w14:textId="77777777" w:rsidR="000553D9" w:rsidRDefault="008D6059">
      <w:pPr>
        <w:pStyle w:val="Normal1"/>
      </w:pPr>
      <w:r>
        <w:t xml:space="preserve"> </w:t>
      </w:r>
    </w:p>
    <w:p w14:paraId="458BFEA3" w14:textId="77777777" w:rsidR="000553D9" w:rsidRDefault="008D6059">
      <w:pPr>
        <w:pStyle w:val="Normal1"/>
      </w:pPr>
      <w:r>
        <w:t>The faculty SLO coordinator and SLO database coordinator each have 40% released time to conduct activities associated with assessment cycles. They have presented at Institute Day, regular faculty meetings, and Division Chair meetings. The SLO coordinator is a non-voting member of the Curriculum and Instruction committee (C &amp; I) and the SLO Committee now reflects membership similar to the C &amp; I committee and the Committee on Distance Education (</w:t>
      </w:r>
      <w:proofErr w:type="spellStart"/>
      <w:r>
        <w:t>CoDE</w:t>
      </w:r>
      <w:proofErr w:type="spellEnd"/>
      <w:r>
        <w:t>), in that the SLO Committee has at least one representative from each division as a member of the committee. Division representatives for the SLO Committee are the links between planning, program review, and SLOAC and the functional units of the College in relation to instruction and student services.</w:t>
      </w:r>
    </w:p>
    <w:p w14:paraId="26B490CD" w14:textId="77777777" w:rsidR="000553D9" w:rsidRDefault="000553D9">
      <w:pPr>
        <w:pStyle w:val="Normal1"/>
      </w:pPr>
    </w:p>
    <w:p w14:paraId="7823DD4A" w14:textId="77777777" w:rsidR="000553D9" w:rsidRDefault="000553D9">
      <w:pPr>
        <w:pStyle w:val="Normal1"/>
      </w:pPr>
    </w:p>
    <w:p w14:paraId="12ED5167" w14:textId="77777777" w:rsidR="000553D9" w:rsidRDefault="008D6059">
      <w:pPr>
        <w:pStyle w:val="Normal1"/>
      </w:pPr>
      <w:r>
        <w:rPr>
          <w:b/>
        </w:rPr>
        <w:t>Demonstration that Deficiencies Have Been Resolved</w:t>
      </w:r>
    </w:p>
    <w:p w14:paraId="35589716" w14:textId="77777777" w:rsidR="000553D9" w:rsidRDefault="008D6059">
      <w:pPr>
        <w:pStyle w:val="Normal1"/>
      </w:pPr>
      <w:r>
        <w:t xml:space="preserve"> </w:t>
      </w:r>
    </w:p>
    <w:p w14:paraId="22A90973" w14:textId="77777777" w:rsidR="000553D9" w:rsidRDefault="008D6059">
      <w:pPr>
        <w:pStyle w:val="Normal1"/>
      </w:pPr>
      <w:r>
        <w:t>The sections below show how the College meets each of the seven requirements for meeting the “proficiency” level of implementation for student learning outcomes, as defined by the ACCJC rubric for evaluating institutional effectiveness.</w:t>
      </w:r>
    </w:p>
    <w:p w14:paraId="49DC4E2E" w14:textId="77777777" w:rsidR="000553D9" w:rsidRDefault="008D6059">
      <w:pPr>
        <w:pStyle w:val="Heading5"/>
      </w:pPr>
      <w:bookmarkStart w:id="6" w:name="h.vg7u3w2m7k2t" w:colFirst="0" w:colLast="0"/>
      <w:bookmarkEnd w:id="6"/>
      <w:r>
        <w:rPr>
          <w:sz w:val="22"/>
        </w:rPr>
        <w:t>a) Student learning outcomes and authentic assessments are in place for courses, programs, support services, certificates and degrees.</w:t>
      </w:r>
    </w:p>
    <w:p w14:paraId="23B0068A" w14:textId="77777777" w:rsidR="000553D9" w:rsidRDefault="000553D9">
      <w:pPr>
        <w:pStyle w:val="Normal1"/>
      </w:pPr>
    </w:p>
    <w:p w14:paraId="32F7AF14" w14:textId="40B48164" w:rsidR="000553D9" w:rsidRDefault="008D6059">
      <w:pPr>
        <w:pStyle w:val="Normal1"/>
      </w:pPr>
      <w:r>
        <w:t>Student learning outcomes have been defined for 98 percent of courses, 90 percent of programs, 100 percent of support services, 90 percent of certificates, and 85 percent of degrees. Assessments are in place for 73 percent of courses</w:t>
      </w:r>
      <w:r w:rsidR="0057092D">
        <w:t>, 19</w:t>
      </w:r>
      <w:r>
        <w:t xml:space="preserve"> percent of programs, 96 percent of support services, 5 percent of certificates</w:t>
      </w:r>
      <w:r w:rsidR="0057092D">
        <w:t>, and 20</w:t>
      </w:r>
      <w:r>
        <w:t xml:space="preserve"> percent of degrees. If </w:t>
      </w:r>
      <w:r>
        <w:lastRenderedPageBreak/>
        <w:t>timelines for assessment are included, 78 percent of courses have assessments and/or timelines and 77 percent of programs have assessments and/or timelines.</w:t>
      </w:r>
    </w:p>
    <w:p w14:paraId="63046F06" w14:textId="77777777" w:rsidR="000553D9" w:rsidRDefault="000553D9">
      <w:pPr>
        <w:pStyle w:val="Normal1"/>
      </w:pPr>
    </w:p>
    <w:p w14:paraId="3C243470" w14:textId="77777777" w:rsidR="000553D9" w:rsidRDefault="008D6059">
      <w:pPr>
        <w:pStyle w:val="Normal1"/>
      </w:pPr>
      <w:r>
        <w:t xml:space="preserve">Glendale Community College meets proficiency rubric statement 1. Student learning outcomes and authentic assessments are in place for courses, programs (including degrees and certificates), and support </w:t>
      </w:r>
      <w:proofErr w:type="spellStart"/>
      <w:r>
        <w:t>programs.The</w:t>
      </w:r>
      <w:proofErr w:type="spellEnd"/>
      <w:r>
        <w:t xml:space="preserve"> quantitative data on assessment cycles presented above support the College’s proficiency level.</w:t>
      </w:r>
    </w:p>
    <w:p w14:paraId="53FC7ECF" w14:textId="77777777" w:rsidR="000553D9" w:rsidRDefault="000553D9">
      <w:pPr>
        <w:pStyle w:val="Normal1"/>
      </w:pPr>
    </w:p>
    <w:p w14:paraId="1899A80A" w14:textId="77777777" w:rsidR="000553D9" w:rsidRDefault="008D6059">
      <w:pPr>
        <w:pStyle w:val="Normal1"/>
      </w:pPr>
      <w:r>
        <w:t>To ensure sustainability, the curriculum process has incorporated SLOs into the approval process for new courses, programs, and curriculum revisions. The curriculum process requires that SLOs and PLOs are approved by the SLO Committee chair to ensure quality control of course- and program-level learning outcomes. In addition, programs have established timelines for ongoing completion of assessments.</w:t>
      </w:r>
    </w:p>
    <w:p w14:paraId="59D03D21" w14:textId="77777777" w:rsidR="000553D9" w:rsidRDefault="000553D9">
      <w:pPr>
        <w:pStyle w:val="Normal1"/>
      </w:pPr>
    </w:p>
    <w:p w14:paraId="24C60F5B" w14:textId="77777777" w:rsidR="000553D9" w:rsidRDefault="008D6059">
      <w:pPr>
        <w:pStyle w:val="Normal1"/>
      </w:pPr>
      <w:r>
        <w:t>PLOs are assessed via capstone courses, aggregated data from course assessment reports, and other methods. Some PLO assessments are incomplete because not all courses in the program have been assessed due to course rotation patterns, student needs, etc. In these cases, PLO reports include data from applicable sources are available.</w:t>
      </w:r>
    </w:p>
    <w:p w14:paraId="5D47CCE8" w14:textId="77777777" w:rsidR="000553D9" w:rsidRDefault="000553D9">
      <w:pPr>
        <w:pStyle w:val="Normal1"/>
      </w:pPr>
    </w:p>
    <w:p w14:paraId="268CB8A0" w14:textId="77777777" w:rsidR="000553D9" w:rsidRDefault="008D6059">
      <w:pPr>
        <w:pStyle w:val="Normal1"/>
      </w:pPr>
      <w:r>
        <w:rPr>
          <w:b/>
          <w:i/>
        </w:rPr>
        <w:t>b) There is widespread institutional dialogue about the results of assessments and identification of gaps</w:t>
      </w:r>
    </w:p>
    <w:p w14:paraId="7F938B84" w14:textId="77777777" w:rsidR="000553D9" w:rsidRDefault="008D6059">
      <w:pPr>
        <w:pStyle w:val="Normal1"/>
      </w:pPr>
      <w:r>
        <w:t xml:space="preserve"> </w:t>
      </w:r>
    </w:p>
    <w:p w14:paraId="5A5C4C66" w14:textId="77777777" w:rsidR="000553D9" w:rsidRDefault="008D6059">
      <w:pPr>
        <w:pStyle w:val="Normal1"/>
      </w:pPr>
      <w:r>
        <w:t>There is widespread dialogue about assessment results and identification of gaps. Divisions conduct discussions of outcomes at scheduled meetings, frequently in a retreat format. Expectations with regard to student learning outcomes campus wide are incorporated into faculty meetings, division chair meetings, Curriculum and Instruction committee meetings, and other governance committees. The faculty institute days of fall 2011, spring 2012, and fall 2012 incorporated discussion of assessment cycles and methods of documenting results.</w:t>
      </w:r>
    </w:p>
    <w:p w14:paraId="21EBD23A" w14:textId="77777777" w:rsidR="000553D9" w:rsidRDefault="000553D9">
      <w:pPr>
        <w:pStyle w:val="Normal1"/>
      </w:pPr>
    </w:p>
    <w:p w14:paraId="6EECC77F" w14:textId="77777777" w:rsidR="000553D9" w:rsidRDefault="008D6059">
      <w:pPr>
        <w:pStyle w:val="Normal1"/>
      </w:pPr>
      <w:r>
        <w:t>The Program Review Committee ensures all validated resource requests contain evidence of assessment cycles. Resource requests that are not validated by program review are not moved forward.</w:t>
      </w:r>
    </w:p>
    <w:p w14:paraId="0CAE3778" w14:textId="77777777" w:rsidR="000553D9" w:rsidRDefault="000553D9">
      <w:pPr>
        <w:pStyle w:val="Normal1"/>
      </w:pPr>
    </w:p>
    <w:p w14:paraId="1292B277" w14:textId="77777777" w:rsidR="000553D9" w:rsidRDefault="008D6059">
      <w:pPr>
        <w:pStyle w:val="Normal1"/>
      </w:pPr>
      <w:r>
        <w:t>Grant proposals also include learning outcome measure to evaluate effectiveness of the proposal [Ref. 2-6].</w:t>
      </w:r>
    </w:p>
    <w:p w14:paraId="20D537BB" w14:textId="77777777" w:rsidR="000553D9" w:rsidRDefault="000553D9">
      <w:pPr>
        <w:pStyle w:val="Normal1"/>
      </w:pPr>
    </w:p>
    <w:p w14:paraId="2EC7B2C3" w14:textId="77777777" w:rsidR="000553D9" w:rsidRDefault="008D6059">
      <w:pPr>
        <w:pStyle w:val="Normal1"/>
      </w:pPr>
      <w:r>
        <w:t>The Associated Students and student leaders of clubs and organizations have discussed learning outcomes with campus SLO leaders in the last academic year.  Plans are being made for follow up discussions.</w:t>
      </w:r>
    </w:p>
    <w:p w14:paraId="3E21B4A9" w14:textId="77777777" w:rsidR="000553D9" w:rsidRDefault="000553D9">
      <w:pPr>
        <w:pStyle w:val="Normal1"/>
      </w:pPr>
    </w:p>
    <w:p w14:paraId="2E1C9EB9" w14:textId="77777777" w:rsidR="000553D9" w:rsidRDefault="008D6059">
      <w:pPr>
        <w:pStyle w:val="Normal1"/>
      </w:pPr>
      <w:r>
        <w:rPr>
          <w:b/>
          <w:i/>
        </w:rPr>
        <w:lastRenderedPageBreak/>
        <w:t>c) Decision-making includes dialogue on the results of assessment and is purposefully directed toward aligning institution-wide practices to support and improve student learning</w:t>
      </w:r>
    </w:p>
    <w:p w14:paraId="1B01E531" w14:textId="77777777" w:rsidR="000553D9" w:rsidRDefault="000553D9">
      <w:pPr>
        <w:pStyle w:val="Normal1"/>
      </w:pPr>
    </w:p>
    <w:p w14:paraId="32C2554E" w14:textId="77777777" w:rsidR="000553D9" w:rsidRDefault="008D6059">
      <w:pPr>
        <w:pStyle w:val="Normal1"/>
      </w:pPr>
      <w:r>
        <w:t>The institution has established the existence of SLO/outcome assessment data as key criteria in evaluating programs and plans and in determining the validity of accompanying resource and funding requests. Programs that are granted resources are required to evaluate and report their impact and effectiveness on student success, thereby closing the assessment cycle. This evaluation cycle is to occur on a systematic and ongoing basis, with timelines for assessment established.</w:t>
      </w:r>
    </w:p>
    <w:p w14:paraId="644F5645" w14:textId="77777777" w:rsidR="000553D9" w:rsidRDefault="000553D9">
      <w:pPr>
        <w:pStyle w:val="Normal1"/>
      </w:pPr>
    </w:p>
    <w:p w14:paraId="52AD731A" w14:textId="77777777" w:rsidR="000553D9" w:rsidRDefault="008D6059">
      <w:pPr>
        <w:pStyle w:val="Normal1"/>
      </w:pPr>
      <w:r>
        <w:t>Dialogue about assessment results is incorporated in the planning process through an annual presentation to the Master Planning Committee that includes assessment results and the resulting program improvements. The Educational Master Plan has been restructured recently to better incorporate program review; SLO and PLO results are integral to program reviews, which are the building blocks of the Instructional Plan and the Student Services Master Plan. The Instructional Plan includes an entire section devoted to the implementation of assessment cycles throughout the instructional program.</w:t>
      </w:r>
    </w:p>
    <w:p w14:paraId="632584B6" w14:textId="77777777" w:rsidR="000553D9" w:rsidRDefault="000553D9">
      <w:pPr>
        <w:pStyle w:val="Normal1"/>
      </w:pPr>
    </w:p>
    <w:p w14:paraId="316112E9" w14:textId="77777777" w:rsidR="000553D9" w:rsidRDefault="008D6059">
      <w:pPr>
        <w:pStyle w:val="Normal1"/>
      </w:pPr>
      <w:r>
        <w:t>In several departments and divisions, additional dialogue has begun to address the intersection of assessment results and student success recommendations. In some cases, this will impact what courses are scheduled at what times.</w:t>
      </w:r>
    </w:p>
    <w:p w14:paraId="741F317C" w14:textId="77777777" w:rsidR="000553D9" w:rsidRDefault="008D6059">
      <w:pPr>
        <w:pStyle w:val="Normal1"/>
      </w:pPr>
      <w:r>
        <w:t xml:space="preserve"> </w:t>
      </w:r>
    </w:p>
    <w:p w14:paraId="6BBA4EC4" w14:textId="77777777" w:rsidR="000553D9" w:rsidRDefault="008D6059">
      <w:pPr>
        <w:pStyle w:val="Normal1"/>
      </w:pPr>
      <w:r>
        <w:t>An example of institutional dialogue on the results of outcomes that led to a change in process occurred when the Program Review committee and the IPCC discussed the effectiveness of this institutional process in September 2012 and recommended adjustments. One such adjustment is to continue to complete the Program Review in the fall, but allow the divisions to update the assessment data in the spring to request personnel. Conducting the Program Review and following it immediately with Instructional Hiring Allocation Committee (IHAC) activities within the same semester was unrealistic in terms of time commitment. As a result of the assessment cycle, modifications have been recommended through the governance process and the Academic Senate.</w:t>
      </w:r>
    </w:p>
    <w:p w14:paraId="656CA49F" w14:textId="77777777" w:rsidR="000553D9" w:rsidRDefault="000553D9">
      <w:pPr>
        <w:pStyle w:val="Normal1"/>
      </w:pPr>
    </w:p>
    <w:p w14:paraId="13F44580" w14:textId="77777777" w:rsidR="000553D9" w:rsidRDefault="008D6059">
      <w:pPr>
        <w:pStyle w:val="Normal1"/>
      </w:pPr>
      <w:r>
        <w:rPr>
          <w:b/>
          <w:i/>
        </w:rPr>
        <w:t>d) Appropriate resources continue to be allocated and fine-tuned.</w:t>
      </w:r>
    </w:p>
    <w:p w14:paraId="1D1AFBE5" w14:textId="77777777" w:rsidR="000553D9" w:rsidRDefault="008D6059">
      <w:pPr>
        <w:pStyle w:val="Normal1"/>
      </w:pPr>
      <w:r>
        <w:t xml:space="preserve"> </w:t>
      </w:r>
    </w:p>
    <w:p w14:paraId="2F3E431B" w14:textId="77777777" w:rsidR="000553D9" w:rsidRDefault="008D6059">
      <w:pPr>
        <w:pStyle w:val="Normal1"/>
      </w:pPr>
      <w:r>
        <w:t xml:space="preserve">Dialogue about assessment results is incorporated in the planning process through an annual presentation to the Master Planning Committee that includes assessment results and the resulting program improvements. The Educational Master Plan has been restructured recently to better incorporate program review; SLO and PLO results are integral to program reviews, which are the building blocks of the Instructional Plan and the Student Services Master Plan. The Instructional Plan includes an entire section </w:t>
      </w:r>
      <w:r>
        <w:lastRenderedPageBreak/>
        <w:t>devoted to the implementation of assessment cycles throughout the instructional program.</w:t>
      </w:r>
    </w:p>
    <w:p w14:paraId="02A11E28" w14:textId="77777777" w:rsidR="000553D9" w:rsidRDefault="000553D9">
      <w:pPr>
        <w:pStyle w:val="Normal1"/>
      </w:pPr>
    </w:p>
    <w:p w14:paraId="7A0E929C" w14:textId="77777777" w:rsidR="000553D9" w:rsidRDefault="008D6059">
      <w:pPr>
        <w:pStyle w:val="Normal1"/>
      </w:pPr>
      <w:r>
        <w:t xml:space="preserve">A comprehensive database was developed during 2012. This database was built using FileMaker Pro and in cooperation with the SLO coordinator and SLO database coordinator. The reporting tool previously used by faculty has been simplified and incorporated into the database design. In addition, the simplified reporting tool was incorporated into the program review process. All of the divisions had developed assessment cycles for programs. The database was piloted in the </w:t>
      </w:r>
      <w:proofErr w:type="gramStart"/>
      <w:r>
        <w:t>Fall</w:t>
      </w:r>
      <w:proofErr w:type="gramEnd"/>
      <w:r>
        <w:t xml:space="preserve"> 2012 and evaluated to ensure that it provides an accurate assessment report that can be accessed easily; is updated regularly and that the course outcomes are aligned with institutional outcomes.</w:t>
      </w:r>
    </w:p>
    <w:p w14:paraId="1C1B5FB7" w14:textId="77777777" w:rsidR="000553D9" w:rsidRDefault="000553D9">
      <w:pPr>
        <w:pStyle w:val="Normal1"/>
      </w:pPr>
    </w:p>
    <w:p w14:paraId="6133AF65" w14:textId="77777777" w:rsidR="000553D9" w:rsidRDefault="008D6059">
      <w:pPr>
        <w:pStyle w:val="Normal1"/>
      </w:pPr>
      <w:r>
        <w:t>In several departments and divisions, additional dialogue has begun to address the intersection of assessment results and student success recommendations. In some cases, this will impact what courses are scheduled at what times.</w:t>
      </w:r>
    </w:p>
    <w:p w14:paraId="16DC8D36" w14:textId="77777777" w:rsidR="000553D9" w:rsidRDefault="000553D9">
      <w:pPr>
        <w:pStyle w:val="Normal1"/>
      </w:pPr>
    </w:p>
    <w:p w14:paraId="26220A17" w14:textId="77777777" w:rsidR="000553D9" w:rsidRDefault="008D6059">
      <w:pPr>
        <w:pStyle w:val="Normal1"/>
      </w:pPr>
      <w:r>
        <w:rPr>
          <w:b/>
          <w:i/>
        </w:rPr>
        <w:t>e) Comprehensive assessment reports exist and are completed and updated on a regular basis.</w:t>
      </w:r>
    </w:p>
    <w:p w14:paraId="02E9D40C" w14:textId="77777777" w:rsidR="000553D9" w:rsidRDefault="000553D9">
      <w:pPr>
        <w:pStyle w:val="Normal1"/>
      </w:pPr>
    </w:p>
    <w:p w14:paraId="5F7892F8" w14:textId="77777777" w:rsidR="000553D9" w:rsidRDefault="008D6059">
      <w:pPr>
        <w:pStyle w:val="Normal1"/>
      </w:pPr>
      <w:r>
        <w:t>Faculty and staff have been completing assessment reporting forms to document their cycles and learning outcomes. In previous years, assessment reports were submitted through email or in hard copy to Research and Planning. The data were manually entered into a campuswide spreadsheet. This format has been revised to interact with the new database. The intention was to simplify the process for faculty and staff, and automatically populate the database at the same time.</w:t>
      </w:r>
    </w:p>
    <w:p w14:paraId="2FAB204B" w14:textId="77777777" w:rsidR="000553D9" w:rsidRDefault="000553D9">
      <w:pPr>
        <w:pStyle w:val="Normal1"/>
      </w:pPr>
    </w:p>
    <w:p w14:paraId="5302B2D0" w14:textId="77777777" w:rsidR="000553D9" w:rsidRDefault="008D6059">
      <w:pPr>
        <w:pStyle w:val="Normal1"/>
      </w:pPr>
      <w:r>
        <w:t>Division wide reporting of assessment outcomes has been incorporated into the program review process since fall 2010. In 2010 and 2011, reports summarizing improvements based on assessment cycles were presented to the Master Planning Committee by the program review co-chairs.</w:t>
      </w:r>
    </w:p>
    <w:p w14:paraId="2992C00A" w14:textId="77777777" w:rsidR="000553D9" w:rsidRDefault="000553D9">
      <w:pPr>
        <w:pStyle w:val="Normal1"/>
      </w:pPr>
    </w:p>
    <w:p w14:paraId="7DDDF760" w14:textId="77777777" w:rsidR="000553D9" w:rsidRDefault="008D6059">
      <w:pPr>
        <w:pStyle w:val="Normal1"/>
      </w:pPr>
      <w:r>
        <w:t xml:space="preserve">Timelines have been developed for course level and program level outcomes. The timelines have been implemented and are currently tracked through the campuswide spreadsheet. Most divisions are following either a 3 year or 2 year cycling period. Each division has an SLO representative who helps track the cycling periods </w:t>
      </w:r>
      <w:proofErr w:type="gramStart"/>
      <w:r>
        <w:t>for  courses</w:t>
      </w:r>
      <w:proofErr w:type="gramEnd"/>
      <w:r>
        <w:t xml:space="preserve"> in their area. The college’s learning outcomes timelines and correlative database for reporting learning outcomes and assessment results also ensure the alignment of courses, programs, and institutional learning outcomes.  Course SLOs and assessment methods and results are linked to Program Learning Outcomes and Institutional Learning Outcomes and are coded based upon the level at which students are meant to have been introduced to, developed an understanding of, or mastered the outcome(s).  The database’s structure has prompted revisions to learning outcomes for courses and programs as stakeholders recognize gaps and missed connections. </w:t>
      </w:r>
    </w:p>
    <w:p w14:paraId="47682379" w14:textId="77777777" w:rsidR="000553D9" w:rsidRDefault="000553D9">
      <w:pPr>
        <w:pStyle w:val="Normal1"/>
      </w:pPr>
    </w:p>
    <w:p w14:paraId="0125ADB5" w14:textId="77777777" w:rsidR="000553D9" w:rsidRDefault="008D6059">
      <w:pPr>
        <w:pStyle w:val="Normal1"/>
      </w:pPr>
      <w:r>
        <w:rPr>
          <w:b/>
          <w:i/>
        </w:rPr>
        <w:t>f) Course student learning outcomes are aligned with degree students learning outcomes.</w:t>
      </w:r>
    </w:p>
    <w:p w14:paraId="1D859694" w14:textId="77777777" w:rsidR="000553D9" w:rsidRDefault="000553D9">
      <w:pPr>
        <w:pStyle w:val="Normal1"/>
      </w:pPr>
    </w:p>
    <w:p w14:paraId="28EE6A7C" w14:textId="77777777" w:rsidR="000553D9" w:rsidRDefault="008D6059">
      <w:pPr>
        <w:pStyle w:val="Normal1"/>
      </w:pPr>
      <w:r>
        <w:t>In previous years, the college attempted to use eLumen to demonstrate the alignment between course and program learning outcomes. It was determined that this did not meet our needs and the college developed a released time position for a faculty member to incorporate the information into an SLO database. This database has been designed to map course-level outcomes to appropriate programs, degrees, and certificates.</w:t>
      </w:r>
    </w:p>
    <w:p w14:paraId="5D77D74C" w14:textId="77777777" w:rsidR="000553D9" w:rsidRDefault="008D6059">
      <w:pPr>
        <w:pStyle w:val="Normal1"/>
      </w:pPr>
      <w:r>
        <w:t xml:space="preserve"> </w:t>
      </w:r>
    </w:p>
    <w:p w14:paraId="598B624D" w14:textId="77777777" w:rsidR="000553D9" w:rsidRDefault="008D6059">
      <w:pPr>
        <w:pStyle w:val="Normal1"/>
      </w:pPr>
      <w:r>
        <w:rPr>
          <w:b/>
          <w:i/>
        </w:rPr>
        <w:t>g) Students demonstrate awareness of goals and purposes of courses and programs in which they are enrolled.</w:t>
      </w:r>
    </w:p>
    <w:p w14:paraId="5347047B" w14:textId="77777777" w:rsidR="000553D9" w:rsidRDefault="008D6059">
      <w:pPr>
        <w:pStyle w:val="Normal1"/>
      </w:pPr>
      <w:r>
        <w:t xml:space="preserve"> </w:t>
      </w:r>
    </w:p>
    <w:p w14:paraId="6683BAB9" w14:textId="77777777" w:rsidR="000553D9" w:rsidRDefault="008D6059">
      <w:pPr>
        <w:pStyle w:val="Normal1"/>
      </w:pPr>
      <w:r>
        <w:t xml:space="preserve">Students demonstrate awareness of goals and purposes of courses in which they are enrolled.  Course student learning outcomes are required to be included on course syllabi.  Course SLOs are also included on all college course outlines of record.  Program Learning Outcomes (PLOs) are included in the print and electronic versions of the GCC catalog for degrees and certificates.  </w:t>
      </w:r>
      <w:proofErr w:type="gramStart"/>
      <w:r>
        <w:t>Faculty discuss</w:t>
      </w:r>
      <w:proofErr w:type="gramEnd"/>
      <w:r>
        <w:t xml:space="preserve"> learning outcomes with students through the process of reviewing and discussing syllabi and course goals and discussing applicable assessment results.</w:t>
      </w:r>
    </w:p>
    <w:p w14:paraId="669F3574" w14:textId="77777777" w:rsidR="000553D9" w:rsidRDefault="000553D9">
      <w:pPr>
        <w:pStyle w:val="Normal1"/>
      </w:pPr>
    </w:p>
    <w:p w14:paraId="04D292B6" w14:textId="77777777" w:rsidR="000553D9" w:rsidRDefault="008D6059">
      <w:pPr>
        <w:pStyle w:val="Normal1"/>
      </w:pPr>
      <w:r>
        <w:t>The College has collected evidence that students are aware of the learning goals of courses, programs, and the institution. According to the spring 2012 student survey, 83 percent of credit students and 94 percent of noncredit students agree that they know what learning outcomes their instructors expect of them. Eighty-three percent of credit students and 96 percent of noncredit students agree that GCC focuses on student learning.</w:t>
      </w:r>
    </w:p>
    <w:p w14:paraId="1D53155A" w14:textId="77777777" w:rsidR="000553D9" w:rsidRDefault="000553D9">
      <w:pPr>
        <w:pStyle w:val="Normal1"/>
      </w:pPr>
    </w:p>
    <w:p w14:paraId="1766F13E" w14:textId="77777777" w:rsidR="000553D9" w:rsidRDefault="008D6059">
      <w:pPr>
        <w:pStyle w:val="Normal1"/>
      </w:pPr>
      <w:r>
        <w:t xml:space="preserve">Additionally, the 2012 student survey asked students about improvement on each of the College’s ILOs. Students were asked how much GCC improved their skills in each area. Among students who indicated they were </w:t>
      </w:r>
      <w:proofErr w:type="gramStart"/>
      <w:r>
        <w:t>completing  their</w:t>
      </w:r>
      <w:proofErr w:type="gramEnd"/>
      <w:r>
        <w:t xml:space="preserve"> educational goal at GCC, the percentage of students saying that GCC improved their skills in the ILO areas ranged from 81 percent to 94 percent [Ref. 2-5].  </w:t>
      </w:r>
    </w:p>
    <w:p w14:paraId="63419F4E" w14:textId="77777777" w:rsidR="000553D9" w:rsidRDefault="000553D9">
      <w:pPr>
        <w:pStyle w:val="Normal1"/>
      </w:pPr>
    </w:p>
    <w:p w14:paraId="67894D9F" w14:textId="77777777" w:rsidR="000553D9" w:rsidRDefault="008D6059">
      <w:pPr>
        <w:pStyle w:val="Normal1"/>
      </w:pPr>
      <w:r>
        <w:t>Faculty SLO leaders have also discussed the purpose, scope, and relevant aggregate assessment results with student leaders.  The groups targeted have been the Associated Students of Glendale Community College (ASGCC) and student clubs and organization chairs. Student group leaders have also expressed interest and enthusiasm in being included in the assessment process either by providing input into campus assessment priorities and by disseminating assessment results to their constituent groups.</w:t>
      </w:r>
    </w:p>
    <w:p w14:paraId="1973C83F" w14:textId="77777777" w:rsidR="000553D9" w:rsidRDefault="008D6059">
      <w:pPr>
        <w:pStyle w:val="Normal1"/>
      </w:pPr>
      <w:r>
        <w:br w:type="page"/>
      </w:r>
    </w:p>
    <w:p w14:paraId="09D5D98E" w14:textId="77777777" w:rsidR="000553D9" w:rsidRDefault="000553D9">
      <w:pPr>
        <w:pStyle w:val="Normal1"/>
      </w:pPr>
    </w:p>
    <w:p w14:paraId="6C07C6B1" w14:textId="77777777" w:rsidR="000553D9" w:rsidRDefault="008D6059">
      <w:pPr>
        <w:pStyle w:val="Heading4"/>
      </w:pPr>
      <w:bookmarkStart w:id="7" w:name="h.irhmxxht5djx" w:colFirst="0" w:colLast="0"/>
      <w:bookmarkEnd w:id="7"/>
      <w:r>
        <w:t>Recommendation 3</w:t>
      </w:r>
    </w:p>
    <w:p w14:paraId="015E77A7" w14:textId="77777777" w:rsidR="000553D9" w:rsidRDefault="000553D9">
      <w:pPr>
        <w:pStyle w:val="Normal1"/>
      </w:pPr>
    </w:p>
    <w:p w14:paraId="2021052E" w14:textId="77777777" w:rsidR="000553D9" w:rsidRDefault="008D6059">
      <w:pPr>
        <w:pStyle w:val="Normal1"/>
      </w:pPr>
      <w:r>
        <w:rPr>
          <w:i/>
        </w:rPr>
        <w:t xml:space="preserve">Recommendation 3: The team recommends that the college ensure that all major policies affecting students are published in an accessible manner in such publications as the catalog, including the Academic Freedom Policy, transfer of credit and the process for sexual harassment complaints (Standard IIB.2). </w:t>
      </w:r>
    </w:p>
    <w:p w14:paraId="2DD08271" w14:textId="77777777" w:rsidR="000553D9" w:rsidRDefault="000553D9">
      <w:pPr>
        <w:pStyle w:val="Normal1"/>
      </w:pPr>
    </w:p>
    <w:p w14:paraId="3328E807" w14:textId="77777777" w:rsidR="000553D9" w:rsidRDefault="008D6059">
      <w:pPr>
        <w:pStyle w:val="Normal1"/>
      </w:pPr>
      <w:r>
        <w:rPr>
          <w:b/>
        </w:rPr>
        <w:t>Description of Institutional Response to Recommendation</w:t>
      </w:r>
    </w:p>
    <w:p w14:paraId="435A34DD" w14:textId="77777777" w:rsidR="000553D9" w:rsidRDefault="008D6059">
      <w:pPr>
        <w:pStyle w:val="Normal1"/>
      </w:pPr>
      <w:r>
        <w:rPr>
          <w:b/>
        </w:rPr>
        <w:t xml:space="preserve"> </w:t>
      </w:r>
    </w:p>
    <w:p w14:paraId="76AADC15" w14:textId="77777777" w:rsidR="000553D9" w:rsidRDefault="008D6059">
      <w:pPr>
        <w:pStyle w:val="Normal1"/>
      </w:pPr>
      <w:r>
        <w:t>The Vice President of Student Services, the Director of Admissions and Records, and the Dean of Student Affairs worked to ensure that all major policies affecting students are published in the appropriate publications and on the Web.</w:t>
      </w:r>
    </w:p>
    <w:p w14:paraId="13CA1967" w14:textId="77777777" w:rsidR="000553D9" w:rsidRDefault="000553D9">
      <w:pPr>
        <w:pStyle w:val="Normal1"/>
      </w:pPr>
    </w:p>
    <w:p w14:paraId="4B3D3CFD" w14:textId="77777777" w:rsidR="000553D9" w:rsidRDefault="008D6059">
      <w:pPr>
        <w:pStyle w:val="Normal1"/>
      </w:pPr>
      <w:r>
        <w:rPr>
          <w:b/>
        </w:rPr>
        <w:t>Demonstration that Deficiencies Have Been Resolved</w:t>
      </w:r>
    </w:p>
    <w:p w14:paraId="07599513" w14:textId="77777777" w:rsidR="000553D9" w:rsidRDefault="000553D9">
      <w:pPr>
        <w:pStyle w:val="Normal1"/>
      </w:pPr>
    </w:p>
    <w:p w14:paraId="12B8A13E" w14:textId="77777777" w:rsidR="000553D9" w:rsidRDefault="008D6059">
      <w:pPr>
        <w:pStyle w:val="Normal1"/>
      </w:pPr>
      <w:r>
        <w:t xml:space="preserve"> The table below shows how these policies are communicated to students.</w:t>
      </w:r>
    </w:p>
    <w:p w14:paraId="500E88DC" w14:textId="77777777" w:rsidR="000553D9" w:rsidRDefault="008D6059">
      <w:pPr>
        <w:pStyle w:val="Normal1"/>
      </w:pPr>
      <w:r>
        <w:rPr>
          <w:b/>
        </w:rPr>
        <w:t xml:space="preserve"> </w:t>
      </w:r>
    </w:p>
    <w:tbl>
      <w:tblPr>
        <w:tblW w:w="86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204"/>
        <w:gridCol w:w="2102"/>
        <w:gridCol w:w="2160"/>
        <w:gridCol w:w="2174"/>
      </w:tblGrid>
      <w:tr w:rsidR="000553D9" w14:paraId="22CDBD25" w14:textId="77777777">
        <w:tc>
          <w:tcPr>
            <w:tcW w:w="2203" w:type="dxa"/>
            <w:shd w:val="clear" w:color="auto" w:fill="D9D9D9"/>
            <w:tcMar>
              <w:top w:w="100" w:type="dxa"/>
              <w:left w:w="100" w:type="dxa"/>
              <w:bottom w:w="100" w:type="dxa"/>
              <w:right w:w="100" w:type="dxa"/>
            </w:tcMar>
            <w:vAlign w:val="bottom"/>
          </w:tcPr>
          <w:p w14:paraId="58A548BF" w14:textId="77777777" w:rsidR="000553D9" w:rsidRDefault="008D6059">
            <w:pPr>
              <w:pStyle w:val="Normal1"/>
            </w:pPr>
            <w:r>
              <w:rPr>
                <w:b/>
              </w:rPr>
              <w:t>Policy</w:t>
            </w:r>
          </w:p>
          <w:p w14:paraId="57E4A5A5" w14:textId="77777777" w:rsidR="000553D9" w:rsidRDefault="008D6059">
            <w:pPr>
              <w:pStyle w:val="Normal1"/>
            </w:pPr>
            <w:r>
              <w:rPr>
                <w:b/>
              </w:rPr>
              <w:t xml:space="preserve"> </w:t>
            </w:r>
          </w:p>
        </w:tc>
        <w:tc>
          <w:tcPr>
            <w:tcW w:w="2102" w:type="dxa"/>
            <w:shd w:val="clear" w:color="auto" w:fill="D9D9D9"/>
            <w:tcMar>
              <w:top w:w="100" w:type="dxa"/>
              <w:left w:w="100" w:type="dxa"/>
              <w:bottom w:w="100" w:type="dxa"/>
              <w:right w:w="100" w:type="dxa"/>
            </w:tcMar>
            <w:vAlign w:val="bottom"/>
          </w:tcPr>
          <w:p w14:paraId="79B3981C" w14:textId="77777777" w:rsidR="000553D9" w:rsidRDefault="008D6059">
            <w:pPr>
              <w:pStyle w:val="Normal1"/>
            </w:pPr>
            <w:r>
              <w:rPr>
                <w:b/>
              </w:rPr>
              <w:t>2012-13 College</w:t>
            </w:r>
          </w:p>
          <w:p w14:paraId="79DF5CF5" w14:textId="77777777" w:rsidR="000553D9" w:rsidRDefault="008D6059">
            <w:pPr>
              <w:pStyle w:val="Normal1"/>
            </w:pPr>
            <w:r>
              <w:rPr>
                <w:b/>
              </w:rPr>
              <w:t>Catalog [Ref. 3-1]</w:t>
            </w:r>
          </w:p>
          <w:p w14:paraId="08FE2DB3" w14:textId="77777777" w:rsidR="000553D9" w:rsidRDefault="008D6059">
            <w:pPr>
              <w:pStyle w:val="Normal1"/>
            </w:pPr>
            <w:r>
              <w:rPr>
                <w:b/>
              </w:rPr>
              <w:t xml:space="preserve"> </w:t>
            </w:r>
          </w:p>
        </w:tc>
        <w:tc>
          <w:tcPr>
            <w:tcW w:w="2160" w:type="dxa"/>
            <w:shd w:val="clear" w:color="auto" w:fill="D9D9D9"/>
            <w:tcMar>
              <w:top w:w="100" w:type="dxa"/>
              <w:left w:w="100" w:type="dxa"/>
              <w:bottom w:w="100" w:type="dxa"/>
              <w:right w:w="100" w:type="dxa"/>
            </w:tcMar>
            <w:vAlign w:val="bottom"/>
          </w:tcPr>
          <w:p w14:paraId="1A2BE7E6" w14:textId="77777777" w:rsidR="000553D9" w:rsidRDefault="008D6059">
            <w:pPr>
              <w:pStyle w:val="Normal1"/>
            </w:pPr>
            <w:r>
              <w:rPr>
                <w:b/>
              </w:rPr>
              <w:t>Fall 2012 Class</w:t>
            </w:r>
          </w:p>
          <w:p w14:paraId="216C1B0E" w14:textId="77777777" w:rsidR="000553D9" w:rsidRDefault="008D6059">
            <w:pPr>
              <w:pStyle w:val="Normal1"/>
            </w:pPr>
            <w:r>
              <w:rPr>
                <w:b/>
              </w:rPr>
              <w:t>Schedule [Ref. 3-2]</w:t>
            </w:r>
          </w:p>
          <w:p w14:paraId="4B5699EA" w14:textId="77777777" w:rsidR="000553D9" w:rsidRDefault="008D6059">
            <w:pPr>
              <w:pStyle w:val="Normal1"/>
            </w:pPr>
            <w:r>
              <w:rPr>
                <w:b/>
              </w:rPr>
              <w:t xml:space="preserve"> </w:t>
            </w:r>
          </w:p>
        </w:tc>
        <w:tc>
          <w:tcPr>
            <w:tcW w:w="2174" w:type="dxa"/>
            <w:shd w:val="clear" w:color="auto" w:fill="D9D9D9"/>
            <w:tcMar>
              <w:top w:w="100" w:type="dxa"/>
              <w:left w:w="100" w:type="dxa"/>
              <w:bottom w:w="100" w:type="dxa"/>
              <w:right w:w="100" w:type="dxa"/>
            </w:tcMar>
            <w:vAlign w:val="bottom"/>
          </w:tcPr>
          <w:p w14:paraId="545B77D4" w14:textId="77777777" w:rsidR="000553D9" w:rsidRDefault="008D6059">
            <w:pPr>
              <w:pStyle w:val="Normal1"/>
            </w:pPr>
            <w:r>
              <w:rPr>
                <w:b/>
              </w:rPr>
              <w:t>College</w:t>
            </w:r>
          </w:p>
          <w:p w14:paraId="5410E757" w14:textId="77777777" w:rsidR="000553D9" w:rsidRDefault="008D6059">
            <w:pPr>
              <w:pStyle w:val="Normal1"/>
            </w:pPr>
            <w:r>
              <w:rPr>
                <w:b/>
              </w:rPr>
              <w:t>Website [Ref. 3-3]</w:t>
            </w:r>
          </w:p>
          <w:p w14:paraId="2787E0F4" w14:textId="77777777" w:rsidR="000553D9" w:rsidRDefault="008D6059">
            <w:pPr>
              <w:pStyle w:val="Normal1"/>
            </w:pPr>
            <w:r>
              <w:rPr>
                <w:b/>
              </w:rPr>
              <w:t xml:space="preserve"> </w:t>
            </w:r>
          </w:p>
        </w:tc>
      </w:tr>
      <w:tr w:rsidR="000553D9" w14:paraId="75E7822E" w14:textId="77777777">
        <w:tc>
          <w:tcPr>
            <w:tcW w:w="2203" w:type="dxa"/>
            <w:tcMar>
              <w:top w:w="100" w:type="dxa"/>
              <w:left w:w="100" w:type="dxa"/>
              <w:bottom w:w="100" w:type="dxa"/>
              <w:right w:w="100" w:type="dxa"/>
            </w:tcMar>
          </w:tcPr>
          <w:p w14:paraId="49DDF960" w14:textId="77777777" w:rsidR="000553D9" w:rsidRDefault="008D6059">
            <w:pPr>
              <w:pStyle w:val="Normal1"/>
            </w:pPr>
            <w:r>
              <w:t>Academic Freedom Policy</w:t>
            </w:r>
          </w:p>
          <w:p w14:paraId="63B4B5E8" w14:textId="77777777" w:rsidR="000553D9" w:rsidRDefault="008D6059">
            <w:pPr>
              <w:pStyle w:val="Normal1"/>
            </w:pPr>
            <w:r>
              <w:rPr>
                <w:b/>
              </w:rPr>
              <w:t xml:space="preserve"> </w:t>
            </w:r>
          </w:p>
        </w:tc>
        <w:tc>
          <w:tcPr>
            <w:tcW w:w="2102" w:type="dxa"/>
            <w:tcMar>
              <w:top w:w="100" w:type="dxa"/>
              <w:left w:w="100" w:type="dxa"/>
              <w:bottom w:w="100" w:type="dxa"/>
              <w:right w:w="100" w:type="dxa"/>
            </w:tcMar>
          </w:tcPr>
          <w:p w14:paraId="26B383E9" w14:textId="77777777" w:rsidR="000553D9" w:rsidRDefault="008D6059">
            <w:pPr>
              <w:pStyle w:val="Normal1"/>
            </w:pPr>
            <w:r>
              <w:t>Page 10</w:t>
            </w:r>
          </w:p>
          <w:p w14:paraId="4FD85A6F" w14:textId="77777777" w:rsidR="000553D9" w:rsidRDefault="008D6059">
            <w:pPr>
              <w:pStyle w:val="Normal1"/>
            </w:pPr>
            <w:r>
              <w:rPr>
                <w:b/>
              </w:rPr>
              <w:t xml:space="preserve"> </w:t>
            </w:r>
          </w:p>
        </w:tc>
        <w:tc>
          <w:tcPr>
            <w:tcW w:w="2160" w:type="dxa"/>
            <w:tcMar>
              <w:top w:w="100" w:type="dxa"/>
              <w:left w:w="100" w:type="dxa"/>
              <w:bottom w:w="100" w:type="dxa"/>
              <w:right w:w="100" w:type="dxa"/>
            </w:tcMar>
          </w:tcPr>
          <w:p w14:paraId="3A123788" w14:textId="77777777" w:rsidR="000553D9" w:rsidRDefault="008D6059">
            <w:pPr>
              <w:pStyle w:val="Normal1"/>
            </w:pPr>
            <w:r>
              <w:t>Page 100</w:t>
            </w:r>
          </w:p>
        </w:tc>
        <w:tc>
          <w:tcPr>
            <w:tcW w:w="2174" w:type="dxa"/>
            <w:tcMar>
              <w:top w:w="100" w:type="dxa"/>
              <w:left w:w="100" w:type="dxa"/>
              <w:bottom w:w="100" w:type="dxa"/>
              <w:right w:w="100" w:type="dxa"/>
            </w:tcMar>
          </w:tcPr>
          <w:p w14:paraId="67E922C3" w14:textId="77777777" w:rsidR="000553D9" w:rsidRDefault="008D6059">
            <w:pPr>
              <w:pStyle w:val="Normal1"/>
            </w:pPr>
            <w:r>
              <w:t>Posted on the Home Page under “Class Schedule”</w:t>
            </w:r>
          </w:p>
        </w:tc>
      </w:tr>
      <w:tr w:rsidR="000553D9" w14:paraId="146EE985" w14:textId="77777777">
        <w:tc>
          <w:tcPr>
            <w:tcW w:w="2203" w:type="dxa"/>
            <w:tcMar>
              <w:top w:w="100" w:type="dxa"/>
              <w:left w:w="100" w:type="dxa"/>
              <w:bottom w:w="100" w:type="dxa"/>
              <w:right w:w="100" w:type="dxa"/>
            </w:tcMar>
          </w:tcPr>
          <w:p w14:paraId="4D7A1BC4" w14:textId="77777777" w:rsidR="000553D9" w:rsidRDefault="008D6059">
            <w:pPr>
              <w:pStyle w:val="Normal1"/>
            </w:pPr>
            <w:r>
              <w:t>Transfer of Credit Policies</w:t>
            </w:r>
          </w:p>
          <w:p w14:paraId="60880E2F" w14:textId="77777777" w:rsidR="000553D9" w:rsidRDefault="008D6059">
            <w:pPr>
              <w:pStyle w:val="Normal1"/>
            </w:pPr>
            <w:r>
              <w:rPr>
                <w:b/>
              </w:rPr>
              <w:t xml:space="preserve"> </w:t>
            </w:r>
          </w:p>
        </w:tc>
        <w:tc>
          <w:tcPr>
            <w:tcW w:w="2102" w:type="dxa"/>
            <w:tcMar>
              <w:top w:w="100" w:type="dxa"/>
              <w:left w:w="100" w:type="dxa"/>
              <w:bottom w:w="100" w:type="dxa"/>
              <w:right w:w="100" w:type="dxa"/>
            </w:tcMar>
          </w:tcPr>
          <w:p w14:paraId="5E951510" w14:textId="77777777" w:rsidR="000553D9" w:rsidRDefault="008D6059">
            <w:pPr>
              <w:pStyle w:val="Normal1"/>
            </w:pPr>
            <w:r>
              <w:t>Pages 18, 83</w:t>
            </w:r>
          </w:p>
          <w:p w14:paraId="1855E78C" w14:textId="77777777" w:rsidR="000553D9" w:rsidRDefault="008D6059">
            <w:pPr>
              <w:pStyle w:val="Normal1"/>
            </w:pPr>
            <w:r>
              <w:rPr>
                <w:b/>
              </w:rPr>
              <w:t xml:space="preserve"> </w:t>
            </w:r>
          </w:p>
        </w:tc>
        <w:tc>
          <w:tcPr>
            <w:tcW w:w="2160" w:type="dxa"/>
            <w:tcMar>
              <w:top w:w="100" w:type="dxa"/>
              <w:left w:w="100" w:type="dxa"/>
              <w:bottom w:w="100" w:type="dxa"/>
              <w:right w:w="100" w:type="dxa"/>
            </w:tcMar>
          </w:tcPr>
          <w:p w14:paraId="32A0AC71" w14:textId="77777777" w:rsidR="000553D9" w:rsidRDefault="008D6059">
            <w:pPr>
              <w:pStyle w:val="Normal1"/>
            </w:pPr>
            <w:r>
              <w:t>Page 11</w:t>
            </w:r>
          </w:p>
        </w:tc>
        <w:tc>
          <w:tcPr>
            <w:tcW w:w="2174" w:type="dxa"/>
            <w:tcMar>
              <w:top w:w="100" w:type="dxa"/>
              <w:left w:w="100" w:type="dxa"/>
              <w:bottom w:w="100" w:type="dxa"/>
              <w:right w:w="100" w:type="dxa"/>
            </w:tcMar>
          </w:tcPr>
          <w:p w14:paraId="590448EF" w14:textId="77777777" w:rsidR="000553D9" w:rsidRDefault="008D6059">
            <w:pPr>
              <w:pStyle w:val="Normal1"/>
            </w:pPr>
            <w:r>
              <w:t>Posted on the Home Page under “Class Schedule”</w:t>
            </w:r>
          </w:p>
        </w:tc>
      </w:tr>
      <w:tr w:rsidR="000553D9" w14:paraId="43F89FA3" w14:textId="77777777">
        <w:tc>
          <w:tcPr>
            <w:tcW w:w="2203" w:type="dxa"/>
            <w:tcMar>
              <w:top w:w="100" w:type="dxa"/>
              <w:left w:w="100" w:type="dxa"/>
              <w:bottom w:w="100" w:type="dxa"/>
              <w:right w:w="100" w:type="dxa"/>
            </w:tcMar>
          </w:tcPr>
          <w:p w14:paraId="7E014DFB" w14:textId="77777777" w:rsidR="000553D9" w:rsidRDefault="008D6059">
            <w:pPr>
              <w:pStyle w:val="Normal1"/>
            </w:pPr>
            <w:r>
              <w:t>Process for Sexual Harassment</w:t>
            </w:r>
          </w:p>
          <w:p w14:paraId="13199F01" w14:textId="77777777" w:rsidR="000553D9" w:rsidRDefault="008D6059">
            <w:pPr>
              <w:pStyle w:val="Normal1"/>
            </w:pPr>
            <w:r>
              <w:t>Complaints</w:t>
            </w:r>
          </w:p>
        </w:tc>
        <w:tc>
          <w:tcPr>
            <w:tcW w:w="2102" w:type="dxa"/>
            <w:tcMar>
              <w:top w:w="100" w:type="dxa"/>
              <w:left w:w="100" w:type="dxa"/>
              <w:bottom w:w="100" w:type="dxa"/>
              <w:right w:w="100" w:type="dxa"/>
            </w:tcMar>
          </w:tcPr>
          <w:p w14:paraId="58F5B6EA" w14:textId="77777777" w:rsidR="000553D9" w:rsidRDefault="008D6059">
            <w:pPr>
              <w:pStyle w:val="Normal1"/>
            </w:pPr>
            <w:r>
              <w:t>Page 17</w:t>
            </w:r>
          </w:p>
          <w:p w14:paraId="657708C5" w14:textId="77777777" w:rsidR="000553D9" w:rsidRDefault="008D6059">
            <w:pPr>
              <w:pStyle w:val="Normal1"/>
            </w:pPr>
            <w:r>
              <w:rPr>
                <w:b/>
              </w:rPr>
              <w:t xml:space="preserve"> </w:t>
            </w:r>
          </w:p>
        </w:tc>
        <w:tc>
          <w:tcPr>
            <w:tcW w:w="2160" w:type="dxa"/>
            <w:tcMar>
              <w:top w:w="100" w:type="dxa"/>
              <w:left w:w="100" w:type="dxa"/>
              <w:bottom w:w="100" w:type="dxa"/>
              <w:right w:w="100" w:type="dxa"/>
            </w:tcMar>
          </w:tcPr>
          <w:p w14:paraId="22985EA3" w14:textId="77777777" w:rsidR="000553D9" w:rsidRDefault="008D6059">
            <w:pPr>
              <w:pStyle w:val="Normal1"/>
            </w:pPr>
            <w:r>
              <w:t>Page 101</w:t>
            </w:r>
          </w:p>
        </w:tc>
        <w:tc>
          <w:tcPr>
            <w:tcW w:w="2174" w:type="dxa"/>
            <w:tcMar>
              <w:top w:w="100" w:type="dxa"/>
              <w:left w:w="100" w:type="dxa"/>
              <w:bottom w:w="100" w:type="dxa"/>
              <w:right w:w="100" w:type="dxa"/>
            </w:tcMar>
          </w:tcPr>
          <w:p w14:paraId="4A734A5D" w14:textId="77777777" w:rsidR="000553D9" w:rsidRDefault="008D6059">
            <w:pPr>
              <w:pStyle w:val="Normal1"/>
            </w:pPr>
            <w:r>
              <w:t>Posted on the Home Page under “Class Schedule”</w:t>
            </w:r>
          </w:p>
        </w:tc>
      </w:tr>
    </w:tbl>
    <w:p w14:paraId="3410FF7D" w14:textId="77777777" w:rsidR="000553D9" w:rsidRDefault="008D6059">
      <w:pPr>
        <w:pStyle w:val="Normal1"/>
      </w:pPr>
      <w:r>
        <w:rPr>
          <w:b/>
        </w:rPr>
        <w:t xml:space="preserve"> </w:t>
      </w:r>
    </w:p>
    <w:p w14:paraId="0B263EFF" w14:textId="77777777" w:rsidR="000553D9" w:rsidRDefault="008D6059">
      <w:pPr>
        <w:pStyle w:val="Normal1"/>
      </w:pPr>
      <w:r>
        <w:t>All of the policies are now published in the class schedule and College catalog and posted on the Web.</w:t>
      </w:r>
      <w:r>
        <w:rPr>
          <w:b/>
        </w:rPr>
        <w:t xml:space="preserve">  </w:t>
      </w:r>
      <w:r>
        <w:t>The Marketing Committee has a checklist of policies to review each year before a publication goes to print.</w:t>
      </w:r>
    </w:p>
    <w:p w14:paraId="554B7548" w14:textId="77777777" w:rsidR="000553D9" w:rsidRDefault="000553D9">
      <w:pPr>
        <w:pStyle w:val="Normal1"/>
      </w:pPr>
    </w:p>
    <w:p w14:paraId="4ADF3148" w14:textId="77777777" w:rsidR="000553D9" w:rsidRDefault="000553D9">
      <w:pPr>
        <w:pStyle w:val="Normal1"/>
      </w:pPr>
    </w:p>
    <w:p w14:paraId="6F728719" w14:textId="77777777" w:rsidR="000553D9" w:rsidRDefault="008D6059">
      <w:pPr>
        <w:pStyle w:val="Normal1"/>
      </w:pPr>
      <w:r>
        <w:br w:type="page"/>
      </w:r>
    </w:p>
    <w:p w14:paraId="17B5B229" w14:textId="77777777" w:rsidR="000553D9" w:rsidRDefault="000553D9">
      <w:pPr>
        <w:pStyle w:val="Normal1"/>
      </w:pPr>
    </w:p>
    <w:p w14:paraId="30808DE9" w14:textId="77777777" w:rsidR="000553D9" w:rsidRDefault="008D6059">
      <w:pPr>
        <w:pStyle w:val="Heading4"/>
      </w:pPr>
      <w:bookmarkStart w:id="8" w:name="h.4z6kz47x5jrw" w:colFirst="0" w:colLast="0"/>
      <w:bookmarkEnd w:id="8"/>
      <w:r>
        <w:t>Recommendation 4</w:t>
      </w:r>
    </w:p>
    <w:p w14:paraId="4ED0F444" w14:textId="77777777" w:rsidR="000553D9" w:rsidRDefault="000553D9">
      <w:pPr>
        <w:pStyle w:val="Normal1"/>
      </w:pPr>
    </w:p>
    <w:p w14:paraId="4137BFA0" w14:textId="77777777" w:rsidR="000553D9" w:rsidRDefault="008D6059">
      <w:pPr>
        <w:pStyle w:val="Normal1"/>
      </w:pPr>
      <w:r>
        <w:rPr>
          <w:i/>
        </w:rPr>
        <w:t>Recommendation 4: As recommended by the 2004 evaluation team, the team recommends that the college complete all overdue employee evaluations, as required by Board policy and employee collective bargaining agreements, including fully implementing professional development plans to ensure that all staff obtain the necessary skills to satisfactorily perform their jobs (Standards IIIA.1.b, IIIA.5). The team also recommends that the evaluation processes of faculty and others responsible for learning clearly identify how the effectiveness of producing outcomes is addressed as a component of their evaluation (Standard IIIA.1.c).</w:t>
      </w:r>
    </w:p>
    <w:p w14:paraId="12BF3EAF" w14:textId="77777777" w:rsidR="000553D9" w:rsidRDefault="000553D9">
      <w:pPr>
        <w:pStyle w:val="Normal1"/>
      </w:pPr>
    </w:p>
    <w:p w14:paraId="4DD48615" w14:textId="77777777" w:rsidR="000553D9" w:rsidRDefault="000553D9">
      <w:pPr>
        <w:pStyle w:val="Normal1"/>
      </w:pPr>
    </w:p>
    <w:p w14:paraId="6D28AA8B" w14:textId="77777777" w:rsidR="000553D9" w:rsidRDefault="008D6059">
      <w:pPr>
        <w:pStyle w:val="Normal1"/>
      </w:pPr>
      <w:r>
        <w:t>Recommendation # 4 addresses deficiencies in three (3) areas:  completion rate of overdue evaluations, implementing professional development plans, and inclusion of evaluation of outcomes as part of the faculty evaluation process.  The district has addressed the recommendations as follows.</w:t>
      </w:r>
    </w:p>
    <w:p w14:paraId="4C238B4F" w14:textId="77777777" w:rsidR="000553D9" w:rsidRDefault="000553D9">
      <w:pPr>
        <w:pStyle w:val="Normal1"/>
      </w:pPr>
    </w:p>
    <w:p w14:paraId="0AA4366F" w14:textId="77777777" w:rsidR="000553D9" w:rsidRDefault="008D6059">
      <w:pPr>
        <w:pStyle w:val="Normal1"/>
      </w:pPr>
      <w:r>
        <w:rPr>
          <w:b/>
        </w:rPr>
        <w:t>Description of Institutional Response to Recommendation</w:t>
      </w:r>
    </w:p>
    <w:p w14:paraId="58C906E8" w14:textId="77777777" w:rsidR="000553D9" w:rsidRDefault="000553D9">
      <w:pPr>
        <w:pStyle w:val="Normal1"/>
      </w:pPr>
    </w:p>
    <w:p w14:paraId="331AD02B" w14:textId="77777777" w:rsidR="000553D9" w:rsidRDefault="008D6059">
      <w:pPr>
        <w:pStyle w:val="Normal1"/>
      </w:pPr>
      <w:r>
        <w:rPr>
          <w:u w:val="single"/>
        </w:rPr>
        <w:t>Overdue Evaluations</w:t>
      </w:r>
    </w:p>
    <w:p w14:paraId="26B0CBF4" w14:textId="77777777" w:rsidR="000553D9" w:rsidRDefault="008D6059">
      <w:pPr>
        <w:pStyle w:val="Normal1"/>
      </w:pPr>
      <w:r>
        <w:rPr>
          <w:u w:val="single"/>
        </w:rPr>
        <w:t xml:space="preserve"> </w:t>
      </w:r>
    </w:p>
    <w:p w14:paraId="678D0A4F" w14:textId="77777777" w:rsidR="000553D9" w:rsidRDefault="008D6059">
      <w:pPr>
        <w:pStyle w:val="Normal1"/>
      </w:pPr>
      <w:r>
        <w:t xml:space="preserve">Following the 2010 accreditation the district began the process of first catching up on past due evaluations and then evaluating the processes used to track evaluations and notifying managers of evaluation due dates.  Senior management communicated the importance of timely completion of evaluations to all managers. This resulted in an average completion rate of 96% for all permanent employee groups as indicated in the March 2011 Accreditation Follow-up Report. </w:t>
      </w:r>
    </w:p>
    <w:p w14:paraId="28D15B28" w14:textId="77777777" w:rsidR="000553D9" w:rsidRDefault="008D6059">
      <w:pPr>
        <w:pStyle w:val="Normal1"/>
      </w:pPr>
      <w:r>
        <w:t xml:space="preserve"> </w:t>
      </w:r>
    </w:p>
    <w:p w14:paraId="02A2DAF0" w14:textId="77777777" w:rsidR="000553D9" w:rsidRDefault="008D6059">
      <w:pPr>
        <w:pStyle w:val="Normal1"/>
      </w:pPr>
      <w:r>
        <w:t xml:space="preserve">All managers receive timely email reminders of evaluation due dates for the permanent employees who report to them   Following the 2010 accreditation the district investigated third party software applications to assist it in managing the evaluation process.  We determined that any third party software would present implementation challenges including interfacing another system with our existing information systems.  This has resulted in a re-evaluation of our processes and a shift in focus from use of </w:t>
      </w:r>
      <w:proofErr w:type="gramStart"/>
      <w:r>
        <w:t>a third</w:t>
      </w:r>
      <w:proofErr w:type="gramEnd"/>
      <w:r>
        <w:t>-party software to a focus on customization of our current HRIS systems to achieve timely employee evaluation.  It is expected that this shift will eliminate the need to interface two separate information systems, reduce duplicated data entry, and reduce opportunities for errors or omissions.  Once our system changes are completed, we will be able to automate the system of notifying managers of evaluation due dates using our database systems.  This includes notification of higher level managers when evaluations are past due.</w:t>
      </w:r>
    </w:p>
    <w:p w14:paraId="3CB5CEA7" w14:textId="77777777" w:rsidR="000553D9" w:rsidRDefault="008D6059">
      <w:pPr>
        <w:pStyle w:val="Normal1"/>
      </w:pPr>
      <w:r>
        <w:rPr>
          <w:u w:val="single"/>
        </w:rPr>
        <w:t xml:space="preserve"> </w:t>
      </w:r>
    </w:p>
    <w:p w14:paraId="25C5AF9E" w14:textId="77777777" w:rsidR="000553D9" w:rsidRDefault="008D6059">
      <w:pPr>
        <w:pStyle w:val="Normal1"/>
      </w:pPr>
      <w:r>
        <w:rPr>
          <w:u w:val="single"/>
        </w:rPr>
        <w:lastRenderedPageBreak/>
        <w:t>Professional Development Plan</w:t>
      </w:r>
    </w:p>
    <w:p w14:paraId="2BEF0DCD" w14:textId="77777777" w:rsidR="000553D9" w:rsidRDefault="008D6059">
      <w:pPr>
        <w:pStyle w:val="Normal1"/>
      </w:pPr>
      <w:r>
        <w:rPr>
          <w:u w:val="single"/>
        </w:rPr>
        <w:t xml:space="preserve"> </w:t>
      </w:r>
    </w:p>
    <w:p w14:paraId="0CF13D4E" w14:textId="77777777" w:rsidR="000553D9" w:rsidRDefault="008D6059">
      <w:pPr>
        <w:pStyle w:val="Normal1"/>
      </w:pPr>
      <w:r>
        <w:t xml:space="preserve">As stated in the March 2011 Accreditation Follow-up Report, a task force was established to develop a framework for implementing a district-wide professional development program and to ensure that whenever a new process is implemented that affects campus employees, there will be a plan developed for training. </w:t>
      </w:r>
    </w:p>
    <w:p w14:paraId="1DC985EC" w14:textId="77777777" w:rsidR="000553D9" w:rsidRDefault="008D6059">
      <w:pPr>
        <w:pStyle w:val="Normal1"/>
      </w:pPr>
      <w:r>
        <w:t xml:space="preserve"> </w:t>
      </w:r>
    </w:p>
    <w:p w14:paraId="57236522" w14:textId="77777777" w:rsidR="000553D9" w:rsidRDefault="008D6059">
      <w:pPr>
        <w:pStyle w:val="Normal1"/>
      </w:pPr>
      <w:r>
        <w:t>Since then the district has identified a number of staff development training needs and implemented staff development training programs to address these needs.  A representative sampling of these programs is listed below under “Demonstration that Deficiencies Have Been Resolved”.</w:t>
      </w:r>
    </w:p>
    <w:p w14:paraId="03EB9E40" w14:textId="77777777" w:rsidR="000553D9" w:rsidRDefault="008D6059">
      <w:pPr>
        <w:pStyle w:val="Normal1"/>
      </w:pPr>
      <w:r>
        <w:rPr>
          <w:u w:val="single"/>
        </w:rPr>
        <w:t xml:space="preserve"> </w:t>
      </w:r>
    </w:p>
    <w:p w14:paraId="0122A903" w14:textId="77777777" w:rsidR="000553D9" w:rsidRDefault="008D6059">
      <w:pPr>
        <w:pStyle w:val="Normal1"/>
      </w:pPr>
      <w:r>
        <w:rPr>
          <w:u w:val="single"/>
        </w:rPr>
        <w:t xml:space="preserve"> </w:t>
      </w:r>
    </w:p>
    <w:p w14:paraId="29BA8E90" w14:textId="77777777" w:rsidR="000553D9" w:rsidRDefault="008D6059">
      <w:pPr>
        <w:pStyle w:val="Normal1"/>
      </w:pPr>
      <w:r>
        <w:rPr>
          <w:u w:val="single"/>
        </w:rPr>
        <w:t>Learning Outcomes</w:t>
      </w:r>
    </w:p>
    <w:p w14:paraId="74FC062C" w14:textId="77777777" w:rsidR="000553D9" w:rsidRDefault="008D6059">
      <w:pPr>
        <w:pStyle w:val="Normal1"/>
      </w:pPr>
      <w:r>
        <w:rPr>
          <w:u w:val="single"/>
        </w:rPr>
        <w:t xml:space="preserve"> </w:t>
      </w:r>
    </w:p>
    <w:p w14:paraId="0385C5DB" w14:textId="77777777" w:rsidR="000553D9" w:rsidRDefault="008D6059">
      <w:pPr>
        <w:pStyle w:val="Normal1"/>
      </w:pPr>
      <w:r>
        <w:t xml:space="preserve">As stated in the March 2011 Follow-up Report, the district established a task force to address the recommendation of including evaluation of student outcomes in the faculty evaluation process.   </w:t>
      </w:r>
    </w:p>
    <w:p w14:paraId="3E0401CE" w14:textId="77777777" w:rsidR="000553D9" w:rsidRDefault="008D6059">
      <w:pPr>
        <w:pStyle w:val="Normal1"/>
      </w:pPr>
      <w:r>
        <w:t xml:space="preserve">Modifying the faculty evaluation process and/or evaluation criteria requires negotiations with the district’s faculty union, the Guild.  The recommendations of the task force were used as a basis for proposals to modify the evaluation instrument to include evaluation of learning outcomes.  Negotiations on modifying the evaluation criteria for instructional faculty have concluded and tentative agreement was reached in fall 2012. </w:t>
      </w:r>
    </w:p>
    <w:p w14:paraId="3AC60BDC" w14:textId="77777777" w:rsidR="000553D9" w:rsidRDefault="000553D9">
      <w:pPr>
        <w:pStyle w:val="Normal1"/>
      </w:pPr>
    </w:p>
    <w:p w14:paraId="5AC1D076" w14:textId="77777777" w:rsidR="000553D9" w:rsidRDefault="000553D9">
      <w:pPr>
        <w:pStyle w:val="Normal1"/>
      </w:pPr>
    </w:p>
    <w:p w14:paraId="58671B07" w14:textId="77777777" w:rsidR="000553D9" w:rsidRDefault="008D6059">
      <w:pPr>
        <w:pStyle w:val="Normal1"/>
      </w:pPr>
      <w:r>
        <w:rPr>
          <w:b/>
        </w:rPr>
        <w:t>Demonstration that Deficiencies Have Been Resolved</w:t>
      </w:r>
    </w:p>
    <w:p w14:paraId="0684C56C" w14:textId="77777777" w:rsidR="000553D9" w:rsidRDefault="000553D9">
      <w:pPr>
        <w:pStyle w:val="Normal1"/>
      </w:pPr>
    </w:p>
    <w:p w14:paraId="2E966699" w14:textId="77777777" w:rsidR="000553D9" w:rsidRDefault="008D6059">
      <w:pPr>
        <w:pStyle w:val="Normal1"/>
      </w:pPr>
      <w:r>
        <w:t>As stated in our March 2011 Accreditation Follow-up report, the district completed 98% of all past due permanent employee evaluations.  This included 100% of management, 99% of classified staff, and 96% of full-time faculty evaluations.</w:t>
      </w:r>
    </w:p>
    <w:p w14:paraId="5AEAD56B" w14:textId="77777777" w:rsidR="000553D9" w:rsidRDefault="008D6059">
      <w:pPr>
        <w:pStyle w:val="Normal1"/>
      </w:pPr>
      <w:r>
        <w:t xml:space="preserve"> </w:t>
      </w:r>
    </w:p>
    <w:p w14:paraId="7E0A61E7" w14:textId="4AF8789C" w:rsidR="000553D9" w:rsidRDefault="008D6059">
      <w:pPr>
        <w:pStyle w:val="Normal1"/>
      </w:pPr>
      <w:r>
        <w:t>Currently the district has completed 9</w:t>
      </w:r>
      <w:r w:rsidR="009D3E51">
        <w:t>7.9</w:t>
      </w:r>
      <w:r>
        <w:t>% of all permanent employee evaluations due.  This includes 100% of management, 9</w:t>
      </w:r>
      <w:r w:rsidR="009D3E51">
        <w:t>9.7</w:t>
      </w:r>
      <w:r>
        <w:t>% of classified staff, and 9</w:t>
      </w:r>
      <w:r w:rsidR="009D3E51">
        <w:t>4.9</w:t>
      </w:r>
      <w:r>
        <w:t xml:space="preserve">% of full-time faculty evaluations. </w:t>
      </w:r>
    </w:p>
    <w:p w14:paraId="6F5ADAAB" w14:textId="77777777" w:rsidR="000553D9" w:rsidRDefault="008D6059">
      <w:pPr>
        <w:pStyle w:val="Normal1"/>
      </w:pPr>
      <w:r>
        <w:t xml:space="preserve"> </w:t>
      </w:r>
    </w:p>
    <w:p w14:paraId="0B83C6CA" w14:textId="77777777" w:rsidR="000553D9" w:rsidRDefault="008D6059">
      <w:pPr>
        <w:pStyle w:val="Normal1"/>
      </w:pPr>
      <w:r>
        <w:rPr>
          <w:u w:val="single"/>
        </w:rPr>
        <w:t>Professional Development Plan</w:t>
      </w:r>
    </w:p>
    <w:p w14:paraId="596DDFD0" w14:textId="77777777" w:rsidR="000553D9" w:rsidRDefault="000553D9">
      <w:pPr>
        <w:pStyle w:val="Normal1"/>
      </w:pPr>
    </w:p>
    <w:p w14:paraId="673023C0" w14:textId="77777777" w:rsidR="000553D9" w:rsidRDefault="008D6059">
      <w:pPr>
        <w:pStyle w:val="Normal1"/>
      </w:pPr>
      <w:r>
        <w:t xml:space="preserve">The District identified a number of training needs and developed and implemented staff development workshops designed to meet the needs identified.  Some representative examples are identified below. </w:t>
      </w:r>
    </w:p>
    <w:p w14:paraId="3CD859E3" w14:textId="77777777" w:rsidR="000553D9" w:rsidRDefault="000553D9">
      <w:pPr>
        <w:pStyle w:val="Normal1"/>
      </w:pPr>
    </w:p>
    <w:p w14:paraId="52FD2AD6" w14:textId="77777777" w:rsidR="000553D9" w:rsidRDefault="000553D9">
      <w:pPr>
        <w:pStyle w:val="Normal1"/>
      </w:pPr>
    </w:p>
    <w:p w14:paraId="702EF149" w14:textId="77777777" w:rsidR="002C776D" w:rsidRDefault="002C776D">
      <w:pPr>
        <w:pStyle w:val="Normal1"/>
      </w:pPr>
    </w:p>
    <w:p w14:paraId="53EB5FE6" w14:textId="77777777" w:rsidR="002C776D" w:rsidRDefault="002C776D">
      <w:pPr>
        <w:pStyle w:val="Normal1"/>
      </w:pPr>
    </w:p>
    <w:p w14:paraId="5561379F" w14:textId="77777777" w:rsidR="000553D9" w:rsidRDefault="008D6059">
      <w:pPr>
        <w:pStyle w:val="Normal1"/>
      </w:pPr>
      <w:r>
        <w:rPr>
          <w:b/>
        </w:rPr>
        <w:lastRenderedPageBreak/>
        <w:t>Technology and Curriculum Related Workshops</w:t>
      </w:r>
    </w:p>
    <w:p w14:paraId="0D9FAD79" w14:textId="77777777" w:rsidR="000553D9" w:rsidRDefault="008D6059">
      <w:pPr>
        <w:pStyle w:val="Normal1"/>
      </w:pPr>
      <w:r>
        <w:t xml:space="preserve"> </w:t>
      </w:r>
    </w:p>
    <w:p w14:paraId="41CEC536" w14:textId="77777777" w:rsidR="000553D9" w:rsidRDefault="008D6059">
      <w:pPr>
        <w:pStyle w:val="Normal1"/>
      </w:pPr>
      <w:r>
        <w:t>In winter 2013 the District offered a series of technology and curriculum related workshops as listed below:</w:t>
      </w:r>
    </w:p>
    <w:p w14:paraId="347082AF" w14:textId="77777777" w:rsidR="000553D9" w:rsidRDefault="008D6059">
      <w:pPr>
        <w:pStyle w:val="Normal1"/>
      </w:pPr>
      <w:r>
        <w:t xml:space="preserve"> </w:t>
      </w:r>
    </w:p>
    <w:p w14:paraId="5B5233C9" w14:textId="77777777" w:rsidR="000553D9" w:rsidRDefault="008D6059">
      <w:pPr>
        <w:pStyle w:val="Normal1"/>
      </w:pPr>
      <w:r>
        <w:t>Distance Education – With the recent focus on ensuring distance education courses meet the accreditation standards, the District identified a need to educate our faculty on the differences between distance education courses which are compliant with accreditation standards and correspondence courses.  Workshop offerings included:</w:t>
      </w:r>
    </w:p>
    <w:p w14:paraId="7B999968" w14:textId="77777777" w:rsidR="000553D9" w:rsidRDefault="008D6059">
      <w:pPr>
        <w:pStyle w:val="Normal1"/>
      </w:pPr>
      <w:r>
        <w:t>·</w:t>
      </w:r>
      <w:r>
        <w:rPr>
          <w:rFonts w:ascii="Times New Roman" w:eastAsia="Times New Roman" w:hAnsi="Times New Roman" w:cs="Times New Roman"/>
          <w:sz w:val="14"/>
        </w:rPr>
        <w:t xml:space="preserve">      </w:t>
      </w:r>
      <w:r>
        <w:t>Online ADA Standards</w:t>
      </w:r>
    </w:p>
    <w:p w14:paraId="4E9F207E" w14:textId="77777777" w:rsidR="000553D9" w:rsidRDefault="008D6059">
      <w:pPr>
        <w:pStyle w:val="Normal1"/>
      </w:pPr>
      <w:r>
        <w:t>·</w:t>
      </w:r>
      <w:r>
        <w:rPr>
          <w:rFonts w:ascii="Times New Roman" w:eastAsia="Times New Roman" w:hAnsi="Times New Roman" w:cs="Times New Roman"/>
          <w:sz w:val="14"/>
        </w:rPr>
        <w:t xml:space="preserve">      </w:t>
      </w:r>
      <w:r>
        <w:t>Effective Online Instructional Design</w:t>
      </w:r>
    </w:p>
    <w:p w14:paraId="49AE6966" w14:textId="77777777" w:rsidR="000553D9" w:rsidRDefault="008D6059">
      <w:pPr>
        <w:pStyle w:val="Normal1"/>
      </w:pPr>
      <w:r>
        <w:t>·</w:t>
      </w:r>
      <w:r>
        <w:rPr>
          <w:rFonts w:ascii="Times New Roman" w:eastAsia="Times New Roman" w:hAnsi="Times New Roman" w:cs="Times New Roman"/>
          <w:sz w:val="14"/>
        </w:rPr>
        <w:t xml:space="preserve">      </w:t>
      </w:r>
      <w:r>
        <w:t>Substantive Contact Policies and Application</w:t>
      </w:r>
    </w:p>
    <w:p w14:paraId="430E4FE9" w14:textId="77777777" w:rsidR="000553D9" w:rsidRDefault="008D6059">
      <w:pPr>
        <w:pStyle w:val="Normal1"/>
      </w:pPr>
      <w:r>
        <w:t>·</w:t>
      </w:r>
      <w:r>
        <w:rPr>
          <w:rFonts w:ascii="Times New Roman" w:eastAsia="Times New Roman" w:hAnsi="Times New Roman" w:cs="Times New Roman"/>
          <w:sz w:val="14"/>
        </w:rPr>
        <w:t xml:space="preserve">      </w:t>
      </w:r>
      <w:r>
        <w:t xml:space="preserve">Turnitin.com:  How to Use </w:t>
      </w:r>
      <w:proofErr w:type="spellStart"/>
      <w:r>
        <w:t>Grademark</w:t>
      </w:r>
      <w:proofErr w:type="spellEnd"/>
      <w:r>
        <w:t xml:space="preserve"> Strategies and Rubric Development</w:t>
      </w:r>
    </w:p>
    <w:p w14:paraId="171C8007" w14:textId="77777777" w:rsidR="000553D9" w:rsidRDefault="008D6059">
      <w:pPr>
        <w:pStyle w:val="Normal1"/>
      </w:pPr>
      <w:r>
        <w:t xml:space="preserve"> </w:t>
      </w:r>
    </w:p>
    <w:p w14:paraId="3B6852FA" w14:textId="77777777" w:rsidR="000553D9" w:rsidRDefault="008D6059">
      <w:pPr>
        <w:pStyle w:val="Normal1"/>
      </w:pPr>
      <w:r>
        <w:t xml:space="preserve">STEM Courseware Initiative –The District has recently shifted to Moodle from Blackboard.  In order to provide training on the use of Moodle and the use of Math </w:t>
      </w:r>
      <w:proofErr w:type="gramStart"/>
      <w:r>
        <w:t>Across</w:t>
      </w:r>
      <w:proofErr w:type="gramEnd"/>
      <w:r>
        <w:t xml:space="preserve"> the Curriculum the District offered a series of integrated workshops including:</w:t>
      </w:r>
    </w:p>
    <w:p w14:paraId="2C4410C5" w14:textId="77777777" w:rsidR="000553D9" w:rsidRDefault="008D6059">
      <w:pPr>
        <w:pStyle w:val="Normal1"/>
      </w:pPr>
      <w:r>
        <w:t>·</w:t>
      </w:r>
      <w:r>
        <w:rPr>
          <w:rFonts w:ascii="Times New Roman" w:eastAsia="Times New Roman" w:hAnsi="Times New Roman" w:cs="Times New Roman"/>
          <w:sz w:val="14"/>
        </w:rPr>
        <w:t xml:space="preserve">      </w:t>
      </w:r>
      <w:r>
        <w:t xml:space="preserve">Introduction to Moodle lessons using Math </w:t>
      </w:r>
      <w:proofErr w:type="gramStart"/>
      <w:r>
        <w:t>Across</w:t>
      </w:r>
      <w:proofErr w:type="gramEnd"/>
      <w:r>
        <w:t xml:space="preserve"> the Curriculum</w:t>
      </w:r>
    </w:p>
    <w:p w14:paraId="4A442823" w14:textId="77777777" w:rsidR="000553D9" w:rsidRDefault="008D6059">
      <w:pPr>
        <w:pStyle w:val="Normal1"/>
      </w:pPr>
      <w:r>
        <w:t>·</w:t>
      </w:r>
      <w:r>
        <w:rPr>
          <w:rFonts w:ascii="Times New Roman" w:eastAsia="Times New Roman" w:hAnsi="Times New Roman" w:cs="Times New Roman"/>
          <w:sz w:val="14"/>
        </w:rPr>
        <w:t xml:space="preserve">      </w:t>
      </w:r>
      <w:r>
        <w:t xml:space="preserve">Workgroups focused on producing discipline-specific lessons as using Math </w:t>
      </w:r>
      <w:proofErr w:type="gramStart"/>
      <w:r>
        <w:t>Across</w:t>
      </w:r>
      <w:proofErr w:type="gramEnd"/>
      <w:r>
        <w:t xml:space="preserve"> the Curriculum within their discipline.</w:t>
      </w:r>
    </w:p>
    <w:p w14:paraId="33C4A700" w14:textId="77777777" w:rsidR="000553D9" w:rsidRDefault="008D6059">
      <w:pPr>
        <w:pStyle w:val="Normal1"/>
      </w:pPr>
      <w:r>
        <w:t>·</w:t>
      </w:r>
      <w:r>
        <w:rPr>
          <w:rFonts w:ascii="Times New Roman" w:eastAsia="Times New Roman" w:hAnsi="Times New Roman" w:cs="Times New Roman"/>
          <w:sz w:val="14"/>
        </w:rPr>
        <w:t xml:space="preserve">      </w:t>
      </w:r>
      <w:r>
        <w:t xml:space="preserve">Introduction to Using </w:t>
      </w:r>
      <w:proofErr w:type="spellStart"/>
      <w:r>
        <w:t>Screencasting</w:t>
      </w:r>
      <w:proofErr w:type="spellEnd"/>
      <w:r>
        <w:t xml:space="preserve"> and Podcasting within Moodle lessons</w:t>
      </w:r>
    </w:p>
    <w:p w14:paraId="1A476E23" w14:textId="77777777" w:rsidR="000553D9" w:rsidRDefault="008D6059">
      <w:pPr>
        <w:pStyle w:val="Normal1"/>
      </w:pPr>
      <w:r>
        <w:t>·</w:t>
      </w:r>
      <w:r>
        <w:rPr>
          <w:rFonts w:ascii="Times New Roman" w:eastAsia="Times New Roman" w:hAnsi="Times New Roman" w:cs="Times New Roman"/>
          <w:sz w:val="14"/>
        </w:rPr>
        <w:t xml:space="preserve">      </w:t>
      </w:r>
      <w:r>
        <w:t xml:space="preserve">Working with Moodle Lessons (with or without </w:t>
      </w:r>
      <w:proofErr w:type="spellStart"/>
      <w:r>
        <w:t>screencasting</w:t>
      </w:r>
      <w:proofErr w:type="spellEnd"/>
      <w:r>
        <w:t xml:space="preserve"> tools)</w:t>
      </w:r>
    </w:p>
    <w:p w14:paraId="415904F7" w14:textId="77777777" w:rsidR="000553D9" w:rsidRDefault="008D6059">
      <w:pPr>
        <w:pStyle w:val="Normal1"/>
      </w:pPr>
      <w:r>
        <w:t>·</w:t>
      </w:r>
      <w:r>
        <w:rPr>
          <w:rFonts w:ascii="Times New Roman" w:eastAsia="Times New Roman" w:hAnsi="Times New Roman" w:cs="Times New Roman"/>
          <w:sz w:val="14"/>
        </w:rPr>
        <w:t xml:space="preserve">      </w:t>
      </w:r>
      <w:r>
        <w:t xml:space="preserve">Introduction to </w:t>
      </w:r>
      <w:proofErr w:type="spellStart"/>
      <w:r>
        <w:t>Camtasia</w:t>
      </w:r>
      <w:proofErr w:type="spellEnd"/>
      <w:r>
        <w:t xml:space="preserve"> as a Tool for Editing Screencasts and use within Moodle lessons</w:t>
      </w:r>
    </w:p>
    <w:p w14:paraId="0F203FD1" w14:textId="77777777" w:rsidR="000553D9" w:rsidRDefault="008D6059">
      <w:pPr>
        <w:pStyle w:val="Normal1"/>
      </w:pPr>
      <w:r>
        <w:t>·</w:t>
      </w:r>
      <w:r>
        <w:rPr>
          <w:rFonts w:ascii="Times New Roman" w:eastAsia="Times New Roman" w:hAnsi="Times New Roman" w:cs="Times New Roman"/>
          <w:sz w:val="14"/>
        </w:rPr>
        <w:t xml:space="preserve">      </w:t>
      </w:r>
      <w:r>
        <w:t>Workgroups on Developing Moodle Lessons</w:t>
      </w:r>
    </w:p>
    <w:p w14:paraId="633CDE5C" w14:textId="77777777" w:rsidR="000553D9" w:rsidRDefault="008D6059">
      <w:pPr>
        <w:pStyle w:val="Normal1"/>
      </w:pPr>
      <w:r>
        <w:t>·</w:t>
      </w:r>
      <w:r>
        <w:rPr>
          <w:rFonts w:ascii="Times New Roman" w:eastAsia="Times New Roman" w:hAnsi="Times New Roman" w:cs="Times New Roman"/>
          <w:sz w:val="14"/>
        </w:rPr>
        <w:t xml:space="preserve">      </w:t>
      </w:r>
      <w:r>
        <w:t>Introduction to Student Generated Content for use in Moodle Lessons</w:t>
      </w:r>
    </w:p>
    <w:p w14:paraId="312B5A6C" w14:textId="77777777" w:rsidR="000553D9" w:rsidRDefault="008D6059">
      <w:pPr>
        <w:pStyle w:val="Normal1"/>
      </w:pPr>
      <w:r>
        <w:t>·</w:t>
      </w:r>
      <w:r>
        <w:rPr>
          <w:rFonts w:ascii="Times New Roman" w:eastAsia="Times New Roman" w:hAnsi="Times New Roman" w:cs="Times New Roman"/>
          <w:sz w:val="14"/>
        </w:rPr>
        <w:t xml:space="preserve">      </w:t>
      </w:r>
      <w:r>
        <w:t>Best Practices in Using Moodle’s Grade Book Functions</w:t>
      </w:r>
    </w:p>
    <w:p w14:paraId="6738A365" w14:textId="77777777" w:rsidR="000553D9" w:rsidRDefault="008D6059">
      <w:pPr>
        <w:pStyle w:val="Normal1"/>
      </w:pPr>
      <w:r>
        <w:t xml:space="preserve"> </w:t>
      </w:r>
    </w:p>
    <w:p w14:paraId="02E14272" w14:textId="77777777" w:rsidR="000553D9" w:rsidRDefault="008D6059">
      <w:pPr>
        <w:pStyle w:val="Normal1"/>
      </w:pPr>
      <w:r>
        <w:t>Manufacturing Technology – A series of workshops was held on topics related to CAD, CAM, and 3-D Prototyping.</w:t>
      </w:r>
    </w:p>
    <w:p w14:paraId="16BEC058" w14:textId="77777777" w:rsidR="000553D9" w:rsidRDefault="008D6059">
      <w:pPr>
        <w:pStyle w:val="Normal1"/>
      </w:pPr>
      <w:r>
        <w:t xml:space="preserve"> </w:t>
      </w:r>
    </w:p>
    <w:p w14:paraId="2EE5BAE7" w14:textId="77777777" w:rsidR="000553D9" w:rsidRDefault="008D6059">
      <w:pPr>
        <w:pStyle w:val="Normal1"/>
      </w:pPr>
      <w:r>
        <w:t>Instructor’s Toolbox – Two workshops were held on the topics of Lesson Study and Student Engagement.</w:t>
      </w:r>
    </w:p>
    <w:p w14:paraId="3E3FEC9C" w14:textId="77777777" w:rsidR="000553D9" w:rsidRDefault="008D6059">
      <w:pPr>
        <w:pStyle w:val="Normal1"/>
      </w:pPr>
      <w:r>
        <w:t xml:space="preserve"> </w:t>
      </w:r>
    </w:p>
    <w:p w14:paraId="3564FB75" w14:textId="77777777" w:rsidR="000553D9" w:rsidRDefault="008D6059">
      <w:pPr>
        <w:pStyle w:val="Normal1"/>
      </w:pPr>
      <w:r>
        <w:t>Lynda.com – The District has made this online training portal available to all faculty, staff, and administration.  Employees may access over 1,500 courses on a variety of relevant topics online.</w:t>
      </w:r>
    </w:p>
    <w:p w14:paraId="7E0F88B9" w14:textId="77777777" w:rsidR="000553D9" w:rsidRDefault="008D6059">
      <w:pPr>
        <w:pStyle w:val="Normal1"/>
      </w:pPr>
      <w:r>
        <w:t xml:space="preserve"> </w:t>
      </w:r>
    </w:p>
    <w:p w14:paraId="34FD1D84" w14:textId="77777777" w:rsidR="000553D9" w:rsidRDefault="008D6059">
      <w:pPr>
        <w:pStyle w:val="Normal1"/>
      </w:pPr>
      <w:r>
        <w:rPr>
          <w:b/>
        </w:rPr>
        <w:t>Other Technology Related Training</w:t>
      </w:r>
    </w:p>
    <w:p w14:paraId="6D62119D" w14:textId="77777777" w:rsidR="000553D9" w:rsidRDefault="008D6059">
      <w:pPr>
        <w:pStyle w:val="Normal1"/>
      </w:pPr>
      <w:r>
        <w:t xml:space="preserve"> </w:t>
      </w:r>
    </w:p>
    <w:p w14:paraId="664AAADF" w14:textId="77777777" w:rsidR="000553D9" w:rsidRDefault="008D6059">
      <w:pPr>
        <w:pStyle w:val="Normal1"/>
      </w:pPr>
      <w:r>
        <w:t>In 2011, 2012 and 2013 the staff of our Information Technology Department received important training to maintain their currency in the following areas:</w:t>
      </w:r>
    </w:p>
    <w:p w14:paraId="598A0A25" w14:textId="77777777" w:rsidR="000553D9" w:rsidRDefault="008D6059">
      <w:pPr>
        <w:pStyle w:val="Normal1"/>
      </w:pPr>
      <w:r>
        <w:t>·</w:t>
      </w:r>
      <w:r>
        <w:rPr>
          <w:rFonts w:ascii="Times New Roman" w:eastAsia="Times New Roman" w:hAnsi="Times New Roman" w:cs="Times New Roman"/>
          <w:sz w:val="14"/>
        </w:rPr>
        <w:t xml:space="preserve">      </w:t>
      </w:r>
      <w:r>
        <w:t>Week long training from PeopleSoft on Academic Advisement Fundamentals</w:t>
      </w:r>
    </w:p>
    <w:p w14:paraId="1FB4252E" w14:textId="77777777" w:rsidR="000553D9" w:rsidRDefault="008D6059">
      <w:pPr>
        <w:pStyle w:val="Normal1"/>
      </w:pPr>
      <w:r>
        <w:t>·</w:t>
      </w:r>
      <w:r>
        <w:rPr>
          <w:rFonts w:ascii="Times New Roman" w:eastAsia="Times New Roman" w:hAnsi="Times New Roman" w:cs="Times New Roman"/>
          <w:sz w:val="14"/>
        </w:rPr>
        <w:t xml:space="preserve">      </w:t>
      </w:r>
      <w:r>
        <w:t>Webinars on California Community Colleges</w:t>
      </w:r>
    </w:p>
    <w:p w14:paraId="5D03133A" w14:textId="77777777" w:rsidR="000553D9" w:rsidRDefault="008D6059">
      <w:pPr>
        <w:pStyle w:val="Normal1"/>
      </w:pPr>
      <w:r>
        <w:lastRenderedPageBreak/>
        <w:t>·</w:t>
      </w:r>
      <w:r>
        <w:rPr>
          <w:rFonts w:ascii="Times New Roman" w:eastAsia="Times New Roman" w:hAnsi="Times New Roman" w:cs="Times New Roman"/>
          <w:sz w:val="14"/>
        </w:rPr>
        <w:t xml:space="preserve">      </w:t>
      </w:r>
      <w:r>
        <w:t xml:space="preserve">Webinars on </w:t>
      </w:r>
      <w:proofErr w:type="spellStart"/>
      <w:r>
        <w:t>ComGen</w:t>
      </w:r>
      <w:proofErr w:type="spellEnd"/>
    </w:p>
    <w:p w14:paraId="5A0576C7" w14:textId="77777777" w:rsidR="000553D9" w:rsidRDefault="008D6059">
      <w:pPr>
        <w:pStyle w:val="Normal1"/>
      </w:pPr>
      <w:r>
        <w:t>·</w:t>
      </w:r>
      <w:r>
        <w:rPr>
          <w:rFonts w:ascii="Times New Roman" w:eastAsia="Times New Roman" w:hAnsi="Times New Roman" w:cs="Times New Roman"/>
          <w:sz w:val="14"/>
        </w:rPr>
        <w:t xml:space="preserve">      </w:t>
      </w:r>
      <w:r>
        <w:t>California Community College Chancellor’s Office changes to MIS reporting for Cal Works and Curriculum</w:t>
      </w:r>
    </w:p>
    <w:p w14:paraId="1EAAA0EA" w14:textId="77777777" w:rsidR="000553D9" w:rsidRDefault="008D6059">
      <w:pPr>
        <w:pStyle w:val="Normal1"/>
      </w:pPr>
      <w:r>
        <w:t>·</w:t>
      </w:r>
      <w:r>
        <w:rPr>
          <w:rFonts w:ascii="Times New Roman" w:eastAsia="Times New Roman" w:hAnsi="Times New Roman" w:cs="Times New Roman"/>
          <w:sz w:val="14"/>
        </w:rPr>
        <w:t xml:space="preserve">      </w:t>
      </w:r>
      <w:r>
        <w:t>California Community College Chancellor’s Office training for MIS reporting 2012 Extreme Data summit</w:t>
      </w:r>
    </w:p>
    <w:p w14:paraId="12EBE4B6" w14:textId="77777777" w:rsidR="000553D9" w:rsidRDefault="008D6059">
      <w:pPr>
        <w:pStyle w:val="Normal1"/>
      </w:pPr>
      <w:r>
        <w:t>·</w:t>
      </w:r>
      <w:r>
        <w:rPr>
          <w:rFonts w:ascii="Times New Roman" w:eastAsia="Times New Roman" w:hAnsi="Times New Roman" w:cs="Times New Roman"/>
          <w:sz w:val="14"/>
        </w:rPr>
        <w:t xml:space="preserve">      </w:t>
      </w:r>
      <w:r>
        <w:t>HEUG webinar for Academic Advisement</w:t>
      </w:r>
    </w:p>
    <w:p w14:paraId="7EB1DA54" w14:textId="77777777" w:rsidR="000553D9" w:rsidRDefault="008D6059">
      <w:pPr>
        <w:pStyle w:val="Normal1"/>
      </w:pPr>
      <w:r>
        <w:t>·</w:t>
      </w:r>
      <w:r>
        <w:rPr>
          <w:rFonts w:ascii="Times New Roman" w:eastAsia="Times New Roman" w:hAnsi="Times New Roman" w:cs="Times New Roman"/>
          <w:sz w:val="14"/>
        </w:rPr>
        <w:t xml:space="preserve">      </w:t>
      </w:r>
      <w:r>
        <w:t xml:space="preserve">PeopleSoft </w:t>
      </w:r>
      <w:proofErr w:type="spellStart"/>
      <w:r>
        <w:t>PeopleTools</w:t>
      </w:r>
      <w:proofErr w:type="spellEnd"/>
      <w:r>
        <w:t xml:space="preserve"> Upgrade Release 8.50</w:t>
      </w:r>
    </w:p>
    <w:p w14:paraId="0811BBE9" w14:textId="77777777" w:rsidR="000553D9" w:rsidRDefault="008D6059">
      <w:pPr>
        <w:pStyle w:val="Normal1"/>
      </w:pPr>
      <w:r>
        <w:t>·</w:t>
      </w:r>
      <w:r>
        <w:rPr>
          <w:rFonts w:ascii="Times New Roman" w:eastAsia="Times New Roman" w:hAnsi="Times New Roman" w:cs="Times New Roman"/>
          <w:sz w:val="14"/>
        </w:rPr>
        <w:t xml:space="preserve">      </w:t>
      </w:r>
      <w:r>
        <w:t>Window 8 Developer Event</w:t>
      </w:r>
    </w:p>
    <w:p w14:paraId="2B6282A2" w14:textId="77777777" w:rsidR="000553D9" w:rsidRDefault="008D6059">
      <w:pPr>
        <w:pStyle w:val="Normal1"/>
      </w:pPr>
      <w:r>
        <w:t>·</w:t>
      </w:r>
      <w:r>
        <w:rPr>
          <w:rFonts w:ascii="Times New Roman" w:eastAsia="Times New Roman" w:hAnsi="Times New Roman" w:cs="Times New Roman"/>
          <w:sz w:val="14"/>
        </w:rPr>
        <w:t xml:space="preserve">      </w:t>
      </w:r>
      <w:r>
        <w:t>GCC Leadership</w:t>
      </w:r>
    </w:p>
    <w:p w14:paraId="7D3A4209" w14:textId="77777777" w:rsidR="000553D9" w:rsidRDefault="008D6059">
      <w:pPr>
        <w:pStyle w:val="Normal1"/>
      </w:pPr>
      <w:r>
        <w:t>·</w:t>
      </w:r>
      <w:r>
        <w:rPr>
          <w:rFonts w:ascii="Times New Roman" w:eastAsia="Times New Roman" w:hAnsi="Times New Roman" w:cs="Times New Roman"/>
          <w:sz w:val="14"/>
        </w:rPr>
        <w:t xml:space="preserve">      </w:t>
      </w:r>
      <w:r>
        <w:t>CISO Certification Program</w:t>
      </w:r>
    </w:p>
    <w:p w14:paraId="3F045485" w14:textId="77777777" w:rsidR="000553D9" w:rsidRDefault="008D6059">
      <w:pPr>
        <w:pStyle w:val="Normal1"/>
      </w:pPr>
      <w:r>
        <w:rPr>
          <w:b/>
        </w:rPr>
        <w:t xml:space="preserve"> </w:t>
      </w:r>
    </w:p>
    <w:p w14:paraId="242B58E5" w14:textId="77777777" w:rsidR="000553D9" w:rsidRDefault="008D6059">
      <w:pPr>
        <w:pStyle w:val="Normal1"/>
      </w:pPr>
      <w:r>
        <w:rPr>
          <w:b/>
        </w:rPr>
        <w:t xml:space="preserve"> </w:t>
      </w:r>
    </w:p>
    <w:p w14:paraId="2DFE1638" w14:textId="77777777" w:rsidR="000553D9" w:rsidRDefault="008D6059">
      <w:pPr>
        <w:pStyle w:val="Normal1"/>
      </w:pPr>
      <w:r>
        <w:rPr>
          <w:b/>
        </w:rPr>
        <w:t>Other Professional Development Offerings:</w:t>
      </w:r>
    </w:p>
    <w:p w14:paraId="07A731B2" w14:textId="77777777" w:rsidR="000553D9" w:rsidRDefault="008D6059">
      <w:pPr>
        <w:pStyle w:val="Normal1"/>
      </w:pPr>
      <w:r>
        <w:t xml:space="preserve"> </w:t>
      </w:r>
    </w:p>
    <w:p w14:paraId="342A3ADA" w14:textId="77777777" w:rsidR="000553D9" w:rsidRDefault="008D6059">
      <w:pPr>
        <w:pStyle w:val="Normal1"/>
      </w:pPr>
      <w:proofErr w:type="spellStart"/>
      <w:r>
        <w:t>SanFACC</w:t>
      </w:r>
      <w:proofErr w:type="spellEnd"/>
      <w:r>
        <w:t xml:space="preserve"> Mentoring Program – We continue to provide mentor and mentee opportunities for faculty, staff, and administrators through our partnership with five other local community college districts.</w:t>
      </w:r>
    </w:p>
    <w:p w14:paraId="53209815" w14:textId="77777777" w:rsidR="000553D9" w:rsidRDefault="008D6059">
      <w:pPr>
        <w:pStyle w:val="Normal1"/>
      </w:pPr>
      <w:r>
        <w:t xml:space="preserve"> </w:t>
      </w:r>
    </w:p>
    <w:p w14:paraId="24774422" w14:textId="77777777" w:rsidR="000553D9" w:rsidRDefault="008D6059">
      <w:pPr>
        <w:pStyle w:val="Normal1"/>
      </w:pPr>
      <w:r>
        <w:t>Facilities Department Safety Training – In 2011 and 2012 a series of training sessions were held for Facilities department staff to meet their need for safety training.  Workshops were held on the following topics:</w:t>
      </w:r>
    </w:p>
    <w:p w14:paraId="0E7D926A" w14:textId="77777777" w:rsidR="000553D9" w:rsidRDefault="008D6059">
      <w:pPr>
        <w:pStyle w:val="Normal1"/>
      </w:pPr>
      <w:r>
        <w:t>·</w:t>
      </w:r>
      <w:r>
        <w:rPr>
          <w:rFonts w:ascii="Times New Roman" w:eastAsia="Times New Roman" w:hAnsi="Times New Roman" w:cs="Times New Roman"/>
          <w:sz w:val="14"/>
        </w:rPr>
        <w:t xml:space="preserve">      </w:t>
      </w:r>
      <w:r>
        <w:t>CPR and First Aid</w:t>
      </w:r>
    </w:p>
    <w:p w14:paraId="0266999E" w14:textId="77777777" w:rsidR="000553D9" w:rsidRDefault="008D6059">
      <w:pPr>
        <w:pStyle w:val="Normal1"/>
      </w:pPr>
      <w:r>
        <w:t>·</w:t>
      </w:r>
      <w:r>
        <w:rPr>
          <w:rFonts w:ascii="Times New Roman" w:eastAsia="Times New Roman" w:hAnsi="Times New Roman" w:cs="Times New Roman"/>
          <w:sz w:val="14"/>
        </w:rPr>
        <w:t xml:space="preserve">      </w:t>
      </w:r>
      <w:r>
        <w:t>Confined Spaces</w:t>
      </w:r>
    </w:p>
    <w:p w14:paraId="35200336" w14:textId="77777777" w:rsidR="000553D9" w:rsidRDefault="008D6059">
      <w:pPr>
        <w:pStyle w:val="Normal1"/>
      </w:pPr>
      <w:r>
        <w:t>·</w:t>
      </w:r>
      <w:r>
        <w:rPr>
          <w:rFonts w:ascii="Times New Roman" w:eastAsia="Times New Roman" w:hAnsi="Times New Roman" w:cs="Times New Roman"/>
          <w:sz w:val="14"/>
        </w:rPr>
        <w:t xml:space="preserve">      </w:t>
      </w:r>
      <w:r>
        <w:t>Utility Cart</w:t>
      </w:r>
    </w:p>
    <w:p w14:paraId="28280D08" w14:textId="77777777" w:rsidR="000553D9" w:rsidRDefault="008D6059">
      <w:pPr>
        <w:pStyle w:val="Normal1"/>
      </w:pPr>
      <w:r>
        <w:t>·</w:t>
      </w:r>
      <w:r>
        <w:rPr>
          <w:rFonts w:ascii="Times New Roman" w:eastAsia="Times New Roman" w:hAnsi="Times New Roman" w:cs="Times New Roman"/>
          <w:sz w:val="14"/>
        </w:rPr>
        <w:t xml:space="preserve">      </w:t>
      </w:r>
      <w:proofErr w:type="spellStart"/>
      <w:r>
        <w:t>Bloodborne</w:t>
      </w:r>
      <w:proofErr w:type="spellEnd"/>
      <w:r>
        <w:t xml:space="preserve"> Pathogens</w:t>
      </w:r>
    </w:p>
    <w:p w14:paraId="2388B14B" w14:textId="77777777" w:rsidR="000553D9" w:rsidRDefault="008D6059">
      <w:pPr>
        <w:pStyle w:val="Normal1"/>
      </w:pPr>
      <w:r>
        <w:t>·</w:t>
      </w:r>
      <w:r>
        <w:rPr>
          <w:rFonts w:ascii="Times New Roman" w:eastAsia="Times New Roman" w:hAnsi="Times New Roman" w:cs="Times New Roman"/>
          <w:sz w:val="14"/>
        </w:rPr>
        <w:t xml:space="preserve">      </w:t>
      </w:r>
      <w:r>
        <w:t>Ladder Safety</w:t>
      </w:r>
    </w:p>
    <w:p w14:paraId="4E06455D" w14:textId="77777777" w:rsidR="000553D9" w:rsidRDefault="008D6059">
      <w:pPr>
        <w:pStyle w:val="Normal1"/>
      </w:pPr>
      <w:r>
        <w:t>·</w:t>
      </w:r>
      <w:r>
        <w:rPr>
          <w:rFonts w:ascii="Times New Roman" w:eastAsia="Times New Roman" w:hAnsi="Times New Roman" w:cs="Times New Roman"/>
          <w:sz w:val="14"/>
        </w:rPr>
        <w:t xml:space="preserve">      </w:t>
      </w:r>
      <w:r>
        <w:t>Back Safety</w:t>
      </w:r>
    </w:p>
    <w:p w14:paraId="619FE6B0" w14:textId="77777777" w:rsidR="000553D9" w:rsidRDefault="008D6059">
      <w:pPr>
        <w:pStyle w:val="Normal1"/>
      </w:pPr>
      <w:r>
        <w:t xml:space="preserve"> </w:t>
      </w:r>
    </w:p>
    <w:p w14:paraId="4E61C8FA" w14:textId="77777777" w:rsidR="000553D9" w:rsidRDefault="008D6059">
      <w:pPr>
        <w:pStyle w:val="Normal1"/>
      </w:pPr>
      <w:r>
        <w:t>Emergency Preparedness Training – Although the District has a well-developed emergency plan, we identified a need for refresher training for key personnel.  In fall 2012 and winter 2013 the District’s management team all underwent online SIMS/NEMS emergency preparedness training.  In addition key personnel underwent a tabletop training exercise to ensure that everyone understands their roles and responsibilities in responding to an emergency on campus.  The campus police department is conducting various emergency drills at all three district locations in spring 2013.  These drills will cover all departments/divisions and college buildings.</w:t>
      </w:r>
    </w:p>
    <w:p w14:paraId="1867ECE6" w14:textId="77777777" w:rsidR="000553D9" w:rsidRDefault="008D6059">
      <w:pPr>
        <w:pStyle w:val="Normal1"/>
      </w:pPr>
      <w:r>
        <w:t xml:space="preserve"> </w:t>
      </w:r>
    </w:p>
    <w:p w14:paraId="65F7F15E" w14:textId="77777777" w:rsidR="000553D9" w:rsidRDefault="008D6059">
      <w:pPr>
        <w:pStyle w:val="Normal1"/>
      </w:pPr>
      <w:r>
        <w:t>Manager Training on CSEA Contract – The District identified a need to provide managers with training on key provisions of the CSEA contract.  In fall 2012 two training sessions were held on Hours of Employment, Wages, and Vacations.  Future training sessions are scheduled in spring 2013 to cover Leaves of Absence, Classification, Evaluation Procedures, and Professional Growth.</w:t>
      </w:r>
    </w:p>
    <w:p w14:paraId="73F39DBA" w14:textId="77777777" w:rsidR="000553D9" w:rsidRDefault="000553D9">
      <w:pPr>
        <w:pStyle w:val="Normal1"/>
      </w:pPr>
    </w:p>
    <w:p w14:paraId="63F6EF11" w14:textId="77777777" w:rsidR="000553D9" w:rsidRDefault="008D6059">
      <w:pPr>
        <w:pStyle w:val="Normal1"/>
      </w:pPr>
      <w:r>
        <w:t xml:space="preserve"> </w:t>
      </w:r>
    </w:p>
    <w:p w14:paraId="133E3AD1" w14:textId="77777777" w:rsidR="000553D9" w:rsidRDefault="008D6059">
      <w:pPr>
        <w:pStyle w:val="Normal1"/>
      </w:pPr>
      <w:r>
        <w:lastRenderedPageBreak/>
        <w:t xml:space="preserve"> </w:t>
      </w:r>
    </w:p>
    <w:p w14:paraId="55631D05" w14:textId="77777777" w:rsidR="000553D9" w:rsidRDefault="008D6059">
      <w:pPr>
        <w:pStyle w:val="Normal1"/>
      </w:pPr>
      <w:r>
        <w:rPr>
          <w:u w:val="single"/>
        </w:rPr>
        <w:t>Learning Outcomes</w:t>
      </w:r>
    </w:p>
    <w:p w14:paraId="565D3264" w14:textId="77777777" w:rsidR="000553D9" w:rsidRDefault="008D6059">
      <w:pPr>
        <w:pStyle w:val="Normal1"/>
      </w:pPr>
      <w:r>
        <w:t xml:space="preserve"> </w:t>
      </w:r>
    </w:p>
    <w:p w14:paraId="5062FD8B" w14:textId="42E9DB58" w:rsidR="000553D9" w:rsidRDefault="008D6059">
      <w:pPr>
        <w:pStyle w:val="Normal1"/>
      </w:pPr>
      <w:r>
        <w:t>Recommendation #4 requires the evaluation process for faculty and others responsible for learning to include effectiveness of producing outcomes as a component of the evaluation process.  The primary persons responsible for learning are our instructional faculty.  Course outlines and syllabi include expected student learning outcomes.  In fall 2012 the district reached agreement with the Guild to add the following to all instructional faculty evaluations under</w:t>
      </w:r>
      <w:r w:rsidR="00AC6D36">
        <w:t xml:space="preserve"> “Evidence of Student Learning”.</w:t>
      </w:r>
    </w:p>
    <w:p w14:paraId="00A5A7D3" w14:textId="77777777" w:rsidR="000553D9" w:rsidRDefault="008D6059">
      <w:pPr>
        <w:pStyle w:val="Normal1"/>
      </w:pPr>
      <w:r>
        <w:t xml:space="preserve"> </w:t>
      </w:r>
    </w:p>
    <w:p w14:paraId="6E23F376" w14:textId="77777777" w:rsidR="000553D9" w:rsidRDefault="008D6059">
      <w:pPr>
        <w:pStyle w:val="Normal1"/>
      </w:pPr>
      <w:r>
        <w:t>“Assesses student success and makes changes based on information gathered.”</w:t>
      </w:r>
    </w:p>
    <w:p w14:paraId="743FDD57" w14:textId="77777777" w:rsidR="000553D9" w:rsidRDefault="008D6059">
      <w:pPr>
        <w:pStyle w:val="Normal1"/>
      </w:pPr>
      <w:r>
        <w:t xml:space="preserve"> </w:t>
      </w:r>
    </w:p>
    <w:p w14:paraId="511B5880" w14:textId="3C220BCD" w:rsidR="000553D9" w:rsidRDefault="00AC6D36">
      <w:pPr>
        <w:pStyle w:val="Normal1"/>
      </w:pPr>
      <w:r>
        <w:t>This document is in the process of being ratified.</w:t>
      </w:r>
      <w:r w:rsidR="008D6059">
        <w:t>by the Guild membership</w:t>
      </w:r>
      <w:r>
        <w:t>. Following ratification, the document will be forwarded to the Board of Trustees for approval.</w:t>
      </w:r>
    </w:p>
    <w:p w14:paraId="211F171F" w14:textId="77777777" w:rsidR="000553D9" w:rsidRDefault="000553D9">
      <w:pPr>
        <w:pStyle w:val="Normal1"/>
      </w:pPr>
    </w:p>
    <w:p w14:paraId="40C6B3F6" w14:textId="77777777" w:rsidR="000553D9" w:rsidRDefault="000553D9">
      <w:pPr>
        <w:pStyle w:val="Normal1"/>
      </w:pPr>
    </w:p>
    <w:p w14:paraId="21F2CAF2" w14:textId="77777777" w:rsidR="000553D9" w:rsidRDefault="008D6059">
      <w:pPr>
        <w:pStyle w:val="Normal1"/>
      </w:pPr>
      <w:r>
        <w:t xml:space="preserve"> </w:t>
      </w:r>
    </w:p>
    <w:p w14:paraId="7A6072F0" w14:textId="77777777" w:rsidR="000553D9" w:rsidRDefault="000553D9">
      <w:pPr>
        <w:pStyle w:val="Normal1"/>
      </w:pPr>
    </w:p>
    <w:p w14:paraId="612656E6" w14:textId="77777777" w:rsidR="000553D9" w:rsidRDefault="008D6059">
      <w:pPr>
        <w:pStyle w:val="Normal1"/>
      </w:pPr>
      <w:r>
        <w:rPr>
          <w:i/>
        </w:rPr>
        <w:t xml:space="preserve"> </w:t>
      </w:r>
    </w:p>
    <w:p w14:paraId="16E09D2F" w14:textId="77777777" w:rsidR="000553D9" w:rsidRDefault="008D6059">
      <w:pPr>
        <w:pStyle w:val="Normal1"/>
      </w:pPr>
      <w:r>
        <w:rPr>
          <w:b/>
        </w:rPr>
        <w:t xml:space="preserve"> </w:t>
      </w:r>
    </w:p>
    <w:p w14:paraId="41FACF91" w14:textId="77777777" w:rsidR="000553D9" w:rsidRDefault="000553D9">
      <w:pPr>
        <w:pStyle w:val="Normal1"/>
      </w:pPr>
    </w:p>
    <w:p w14:paraId="4DF9D00E" w14:textId="77777777" w:rsidR="000553D9" w:rsidRDefault="000553D9">
      <w:pPr>
        <w:pStyle w:val="Normal1"/>
      </w:pPr>
    </w:p>
    <w:p w14:paraId="03AF95E3" w14:textId="77777777" w:rsidR="000553D9" w:rsidRDefault="000553D9">
      <w:pPr>
        <w:pStyle w:val="Normal1"/>
      </w:pPr>
    </w:p>
    <w:p w14:paraId="0215CF0E" w14:textId="77777777" w:rsidR="000553D9" w:rsidRDefault="000553D9">
      <w:pPr>
        <w:pStyle w:val="Normal1"/>
      </w:pPr>
    </w:p>
    <w:p w14:paraId="19B4F84C" w14:textId="77777777" w:rsidR="000553D9" w:rsidRDefault="000553D9">
      <w:pPr>
        <w:pStyle w:val="Heading4"/>
      </w:pPr>
      <w:bookmarkStart w:id="9" w:name="h.5makv5mgh7r0" w:colFirst="0" w:colLast="0"/>
      <w:bookmarkEnd w:id="9"/>
    </w:p>
    <w:p w14:paraId="4EA63588" w14:textId="77777777" w:rsidR="000553D9" w:rsidRDefault="008D6059">
      <w:pPr>
        <w:pStyle w:val="Normal1"/>
      </w:pPr>
      <w:r>
        <w:br w:type="page"/>
      </w:r>
    </w:p>
    <w:p w14:paraId="59607C8B" w14:textId="77777777" w:rsidR="000553D9" w:rsidRDefault="000553D9">
      <w:pPr>
        <w:pStyle w:val="Heading4"/>
      </w:pPr>
      <w:bookmarkStart w:id="10" w:name="h.x6hbw838pte1" w:colFirst="0" w:colLast="0"/>
      <w:bookmarkEnd w:id="10"/>
    </w:p>
    <w:p w14:paraId="6596CE0A" w14:textId="77777777" w:rsidR="000553D9" w:rsidRDefault="008D6059">
      <w:pPr>
        <w:pStyle w:val="Heading4"/>
      </w:pPr>
      <w:bookmarkStart w:id="11" w:name="h.pa0jgk71r5gg" w:colFirst="0" w:colLast="0"/>
      <w:bookmarkEnd w:id="11"/>
      <w:r>
        <w:t>Recommendation 5</w:t>
      </w:r>
    </w:p>
    <w:p w14:paraId="656B44E6" w14:textId="77777777" w:rsidR="000553D9" w:rsidRDefault="008D6059">
      <w:pPr>
        <w:pStyle w:val="Normal1"/>
      </w:pPr>
      <w:r>
        <w:tab/>
      </w:r>
      <w:r>
        <w:tab/>
        <w:t xml:space="preserve"> </w:t>
      </w:r>
      <w:r>
        <w:tab/>
        <w:t xml:space="preserve"> </w:t>
      </w:r>
      <w:r>
        <w:tab/>
        <w:t xml:space="preserve"> </w:t>
      </w:r>
      <w:r>
        <w:tab/>
      </w:r>
      <w:r>
        <w:tab/>
      </w:r>
    </w:p>
    <w:p w14:paraId="5F3F21A4" w14:textId="77777777" w:rsidR="000553D9" w:rsidRDefault="008D6059">
      <w:pPr>
        <w:pStyle w:val="Normal1"/>
      </w:pPr>
      <w:r>
        <w:rPr>
          <w:i/>
        </w:rPr>
        <w:t xml:space="preserve">Recommendation 5: The team recommends that the college use all traditional, federally recognized Equal Employment Opportunity (EEO) ethnic categories in order to develop a comprehensive approach in describing and planning for diversity of faculty and staff at the college (Standard IIA.4). </w:t>
      </w:r>
    </w:p>
    <w:p w14:paraId="13FA749C" w14:textId="77777777" w:rsidR="000553D9" w:rsidRDefault="000553D9">
      <w:pPr>
        <w:pStyle w:val="Normal1"/>
      </w:pPr>
    </w:p>
    <w:p w14:paraId="0A584AF5" w14:textId="77777777" w:rsidR="000553D9" w:rsidRDefault="000553D9">
      <w:pPr>
        <w:pStyle w:val="Normal1"/>
      </w:pPr>
    </w:p>
    <w:p w14:paraId="78405B03" w14:textId="77777777" w:rsidR="000553D9" w:rsidRDefault="008D6059">
      <w:pPr>
        <w:pStyle w:val="Normal1"/>
      </w:pPr>
      <w:r>
        <w:rPr>
          <w:b/>
        </w:rPr>
        <w:t>Description of Institutional Response to Recommendation</w:t>
      </w:r>
    </w:p>
    <w:p w14:paraId="57F08344" w14:textId="77777777" w:rsidR="000553D9" w:rsidRDefault="000553D9">
      <w:pPr>
        <w:pStyle w:val="Normal1"/>
      </w:pPr>
    </w:p>
    <w:p w14:paraId="40E8A73D" w14:textId="77777777" w:rsidR="000553D9" w:rsidRDefault="008D6059">
      <w:pPr>
        <w:pStyle w:val="Normal1"/>
      </w:pPr>
      <w:r>
        <w:t xml:space="preserve">As described in the 2011 Follow-Up Report, the College collects and uses all traditional, federally recognized EEO ethnic categories in its reports, publications, plans, and data submissions to the appropriate agencies. The aggregation of several ethnic categories in the introduction to the 2010 accreditation </w:t>
      </w:r>
      <w:proofErr w:type="spellStart"/>
      <w:r>
        <w:t>self study</w:t>
      </w:r>
      <w:proofErr w:type="spellEnd"/>
      <w:r>
        <w:t xml:space="preserve"> was an oversight that is not repeated in other publications. The College continues to monitor the reporting of ethnic categories and to ensure that all traditional EEO categories are used. For example, the annual Campus Profile includes the federally recognized EEO categories when presenting student and employee ethnicity [Ref. 5-1].</w:t>
      </w:r>
    </w:p>
    <w:p w14:paraId="38649957" w14:textId="77777777" w:rsidR="000553D9" w:rsidRDefault="000553D9">
      <w:pPr>
        <w:pStyle w:val="Normal1"/>
      </w:pPr>
    </w:p>
    <w:p w14:paraId="065B71B4" w14:textId="77777777" w:rsidR="000553D9" w:rsidRDefault="008D6059">
      <w:pPr>
        <w:pStyle w:val="Normal1"/>
      </w:pPr>
      <w:r>
        <w:t>Regarding the College’s approach to describing and planning for faculty and staff diversity, the College is committed to a diverse workforce, as stated in Board Policy 7100, Commitment to Diversity [Ref. 5-2]. Information about faculty and staff diversity is used for planning. The EEO Plan addresses diversity at the College, and the traditional EEO categories are used throughout the plan [Ref. 5-3]. The EEO Plan and the Human Resources Strategic Plan are both in the process of being updated, with the goal of completed revisions by the end of the spring 2013 semester.</w:t>
      </w:r>
    </w:p>
    <w:p w14:paraId="7D25CAB9" w14:textId="77777777" w:rsidR="000553D9" w:rsidRDefault="000553D9">
      <w:pPr>
        <w:pStyle w:val="Normal1"/>
      </w:pPr>
    </w:p>
    <w:p w14:paraId="2DDF0E39" w14:textId="77777777" w:rsidR="000553D9" w:rsidRDefault="000553D9">
      <w:pPr>
        <w:pStyle w:val="Normal1"/>
      </w:pPr>
    </w:p>
    <w:p w14:paraId="613173A7" w14:textId="77777777" w:rsidR="000553D9" w:rsidRDefault="008D6059">
      <w:pPr>
        <w:pStyle w:val="Normal1"/>
      </w:pPr>
      <w:r>
        <w:rPr>
          <w:b/>
        </w:rPr>
        <w:t>Demonstration that Deficiencies Have Been Resolved</w:t>
      </w:r>
    </w:p>
    <w:p w14:paraId="412EAA6E" w14:textId="77777777" w:rsidR="000553D9" w:rsidRDefault="000553D9">
      <w:pPr>
        <w:pStyle w:val="Normal1"/>
      </w:pPr>
    </w:p>
    <w:p w14:paraId="364D12DB" w14:textId="77777777" w:rsidR="000553D9" w:rsidRDefault="008D6059">
      <w:pPr>
        <w:pStyle w:val="Normal1"/>
      </w:pPr>
      <w:r>
        <w:t>Regarding Recommendation 5, the 2011 follow-up team’s report says,</w:t>
      </w:r>
    </w:p>
    <w:p w14:paraId="45D92DAE" w14:textId="77777777" w:rsidR="000553D9" w:rsidRDefault="000553D9">
      <w:pPr>
        <w:pStyle w:val="Normal1"/>
      </w:pPr>
    </w:p>
    <w:p w14:paraId="37BA490C" w14:textId="77777777" w:rsidR="000553D9" w:rsidRDefault="008D6059">
      <w:pPr>
        <w:pStyle w:val="Normal1"/>
        <w:ind w:left="720"/>
      </w:pPr>
      <w:r>
        <w:t xml:space="preserve">“The visiting team was able to validate the evidence provided by the college.  </w:t>
      </w:r>
      <w:proofErr w:type="gramStart"/>
      <w:r>
        <w:t>It  has</w:t>
      </w:r>
      <w:proofErr w:type="gramEnd"/>
      <w:r>
        <w:t xml:space="preserve"> addressed this recommendation. The Campus Profile 2010 uses the traditional, federally recognized EEO categories. The EEO plan is comprehensive and demonstrates the college’s commitment to a diverse faculty and staff.”</w:t>
      </w:r>
    </w:p>
    <w:p w14:paraId="00912D3A" w14:textId="77777777" w:rsidR="000553D9" w:rsidRDefault="000553D9">
      <w:pPr>
        <w:pStyle w:val="Normal1"/>
        <w:ind w:left="720"/>
      </w:pPr>
    </w:p>
    <w:p w14:paraId="5C80B1B5" w14:textId="77777777" w:rsidR="000553D9" w:rsidRDefault="008D6059">
      <w:pPr>
        <w:pStyle w:val="Normal1"/>
      </w:pPr>
      <w:r>
        <w:t>Additionally, the report says, “Based on a review and validation of the evidence provided and interviews with faculty and staff, the team found that the college has satisfactorily addressed this recommendation and meets the standard.”</w:t>
      </w:r>
    </w:p>
    <w:p w14:paraId="502E49F7" w14:textId="77777777" w:rsidR="000553D9" w:rsidRDefault="008D6059">
      <w:pPr>
        <w:pStyle w:val="Normal1"/>
      </w:pPr>
      <w:r>
        <w:br w:type="page"/>
      </w:r>
    </w:p>
    <w:p w14:paraId="1AD86C8A" w14:textId="77777777" w:rsidR="000553D9" w:rsidRDefault="000553D9">
      <w:pPr>
        <w:pStyle w:val="Normal1"/>
      </w:pPr>
    </w:p>
    <w:p w14:paraId="7BC89B82" w14:textId="77777777" w:rsidR="000553D9" w:rsidRDefault="008D6059">
      <w:pPr>
        <w:pStyle w:val="Heading4"/>
      </w:pPr>
      <w:bookmarkStart w:id="12" w:name="h.lwnwz2acuwyu" w:colFirst="0" w:colLast="0"/>
      <w:bookmarkEnd w:id="12"/>
      <w:r>
        <w:t>Recommendation 6</w:t>
      </w:r>
    </w:p>
    <w:p w14:paraId="5A02BEF7" w14:textId="77777777" w:rsidR="000553D9" w:rsidRDefault="008D6059">
      <w:pPr>
        <w:pStyle w:val="Normal1"/>
      </w:pPr>
      <w:r>
        <w:tab/>
      </w:r>
      <w:r>
        <w:tab/>
        <w:t xml:space="preserve"> </w:t>
      </w:r>
      <w:r>
        <w:tab/>
        <w:t xml:space="preserve"> </w:t>
      </w:r>
      <w:r>
        <w:tab/>
        <w:t xml:space="preserve"> </w:t>
      </w:r>
      <w:r>
        <w:tab/>
      </w:r>
      <w:r>
        <w:tab/>
      </w:r>
    </w:p>
    <w:p w14:paraId="3664E392" w14:textId="77777777" w:rsidR="000553D9" w:rsidRDefault="008D6059">
      <w:pPr>
        <w:pStyle w:val="Normal1"/>
      </w:pPr>
      <w:r>
        <w:rPr>
          <w:i/>
        </w:rPr>
        <w:t xml:space="preserve">Recommendation 6: As recommended by the 2004 evaluation team, the team recommends that the college move quickly to implement long range planning in Information and Technology Services that is linked to budget allocation. (Standard IIIC) </w:t>
      </w:r>
    </w:p>
    <w:p w14:paraId="577B29B6" w14:textId="77777777" w:rsidR="000553D9" w:rsidRDefault="000553D9">
      <w:pPr>
        <w:pStyle w:val="Normal1"/>
      </w:pPr>
    </w:p>
    <w:p w14:paraId="2AFC0482" w14:textId="77777777" w:rsidR="000553D9" w:rsidRDefault="000553D9">
      <w:pPr>
        <w:pStyle w:val="Normal1"/>
      </w:pPr>
    </w:p>
    <w:p w14:paraId="2145BD74" w14:textId="77777777" w:rsidR="000553D9" w:rsidRDefault="008D6059">
      <w:pPr>
        <w:pStyle w:val="Normal1"/>
      </w:pPr>
      <w:r>
        <w:rPr>
          <w:b/>
        </w:rPr>
        <w:t>Description of Institutional Response to Recommendation</w:t>
      </w:r>
    </w:p>
    <w:p w14:paraId="0B81D6E6" w14:textId="77777777" w:rsidR="000553D9" w:rsidRDefault="000553D9">
      <w:pPr>
        <w:pStyle w:val="Normal1"/>
      </w:pPr>
    </w:p>
    <w:p w14:paraId="0F1DDB2C" w14:textId="77777777" w:rsidR="000553D9" w:rsidRDefault="008D6059">
      <w:pPr>
        <w:pStyle w:val="Normal1"/>
      </w:pPr>
      <w:r>
        <w:t>The College conducts long range planning in information technology on a continuous basis. Planning is directly related to resource allocation through the integrated planning, program review, and resource allocation process. Revenues have been set aside each year since 2010-2011 for funding technology.</w:t>
      </w:r>
    </w:p>
    <w:p w14:paraId="076DE182" w14:textId="77777777" w:rsidR="000553D9" w:rsidRDefault="000553D9">
      <w:pPr>
        <w:pStyle w:val="Normal1"/>
      </w:pPr>
    </w:p>
    <w:p w14:paraId="1D70E663" w14:textId="77777777" w:rsidR="000553D9" w:rsidRDefault="008D6059">
      <w:pPr>
        <w:pStyle w:val="Normal1"/>
      </w:pPr>
      <w:r>
        <w:rPr>
          <w:b/>
        </w:rPr>
        <w:t>Demonstration that Deficiencies Have Been Resolved</w:t>
      </w:r>
    </w:p>
    <w:p w14:paraId="0F43133F" w14:textId="77777777" w:rsidR="000553D9" w:rsidRDefault="000553D9">
      <w:pPr>
        <w:pStyle w:val="Normal1"/>
      </w:pPr>
    </w:p>
    <w:p w14:paraId="1B4622F8" w14:textId="77777777" w:rsidR="000553D9" w:rsidRDefault="008D6059">
      <w:pPr>
        <w:pStyle w:val="Normal1"/>
      </w:pPr>
      <w:r>
        <w:t xml:space="preserve">The College has an Information Technology Plan which identifies the College technology goals.  This plan was revised and expanded into the Technology Master Plan 2007-2012. [Ref. 6-1]  This plan is reviewed and updated annually by the Campuswide Computer Coordinating Committee. </w:t>
      </w:r>
    </w:p>
    <w:p w14:paraId="6CB837B8" w14:textId="77777777" w:rsidR="000553D9" w:rsidRDefault="008D6059">
      <w:pPr>
        <w:pStyle w:val="Normal1"/>
      </w:pPr>
      <w:r>
        <w:t xml:space="preserve"> </w:t>
      </w:r>
    </w:p>
    <w:p w14:paraId="723E6D73" w14:textId="77777777" w:rsidR="000553D9" w:rsidRDefault="008D6059">
      <w:pPr>
        <w:pStyle w:val="Normal1"/>
      </w:pPr>
      <w:r>
        <w:t>In the past, technology has been funded by one-time income rather than ongoing College funds.  Most recently, major technology purchases were made with Measure G funds, a $98 million general obligation bond passed in 2002.  With these funds, the College upgraded its financial and human resources system by implementing Oracle e-business suites and its student management systems by implementing PeopleSoft Campus Solutions.  With the exhaustion of Measure G funds and no regular, ongoing funding in the College’s general fund, technology planning and funding has been limited.  This deficiency in technology planning and funding has been resolved through two mechanisms, described below.</w:t>
      </w:r>
    </w:p>
    <w:p w14:paraId="5FF9CC49" w14:textId="77777777" w:rsidR="000553D9" w:rsidRDefault="008D6059">
      <w:pPr>
        <w:pStyle w:val="Normal1"/>
      </w:pPr>
      <w:r>
        <w:t xml:space="preserve"> </w:t>
      </w:r>
    </w:p>
    <w:p w14:paraId="0D1F01F0" w14:textId="77777777" w:rsidR="000553D9" w:rsidRDefault="008D6059">
      <w:pPr>
        <w:pStyle w:val="Normal1"/>
      </w:pPr>
      <w:r>
        <w:t>The first mechanism is the inclusion of a line item specifically for funding technology in the College budget.  In 2010-11, the College began charging a $5 per unit capital outlay fee to its international students.  The revenue from this fee was allocated specifically for technology.  In 2010-11, $71,861 in fees was collected and in 2011-12 an additional $74,074 was collected.  In 2011-12, this fee was increased from $5 to $9 per unit and it is projected to generate $126,000 in revenue each year for technology funding.</w:t>
      </w:r>
    </w:p>
    <w:p w14:paraId="7999F980" w14:textId="77777777" w:rsidR="000553D9" w:rsidRDefault="008D6059">
      <w:pPr>
        <w:pStyle w:val="Normal1"/>
      </w:pPr>
      <w:r>
        <w:t xml:space="preserve"> </w:t>
      </w:r>
    </w:p>
    <w:p w14:paraId="23058EE0" w14:textId="77777777" w:rsidR="000553D9" w:rsidRDefault="008D6059">
      <w:pPr>
        <w:pStyle w:val="Normal1"/>
      </w:pPr>
      <w:r>
        <w:t xml:space="preserve">The second mechanism is the College’s revised model that integrates planning, program review, and resource allocation.  This model was designed as the budget prioritization process for all categories of budget requests including technology.  The integrated model [Ref. 6-2] incorporates two channels for requesting resources, one through </w:t>
      </w:r>
      <w:r>
        <w:lastRenderedPageBreak/>
        <w:t>planning and one through program review.  Through planning, needs identified in the Technology Master Plan are validated by the Institutional Planning Coordinating Committee and submitted to the Campuswide Computer Coordinating Committee for prioritization.  Through program review [Ref. 6-3], needs identified by the Information Technology Services department are validated by a program review sub-committee and submitted to the Campuswide Computer Coordinating Committee for prioritization.</w:t>
      </w:r>
    </w:p>
    <w:p w14:paraId="2746E618" w14:textId="77777777" w:rsidR="000553D9" w:rsidRDefault="008D6059">
      <w:pPr>
        <w:pStyle w:val="Normal1"/>
      </w:pPr>
      <w:r>
        <w:t xml:space="preserve"> </w:t>
      </w:r>
    </w:p>
    <w:p w14:paraId="65F5DB77" w14:textId="3DE73102" w:rsidR="000553D9" w:rsidRDefault="008D6059">
      <w:pPr>
        <w:pStyle w:val="Normal1"/>
      </w:pPr>
      <w:r>
        <w:t>The Campuswide Computer Coordinating Committee prioritizes all of the budget requests received and allocates funding from the technology fee account</w:t>
      </w:r>
      <w:proofErr w:type="gramStart"/>
      <w:r w:rsidR="009D2A49">
        <w:t>..</w:t>
      </w:r>
      <w:proofErr w:type="gramEnd"/>
      <w:r w:rsidR="009D2A49">
        <w:t xml:space="preserve"> </w:t>
      </w:r>
      <w:r>
        <w:t>Those requests that still need funding are submitted to the Budget Committee.  The Budget Committee is responsible for the final prioritization and funding of all requests received from the standing committees:  Campuswide Computer Coordinating Committee, Academic Affairs, Student Affairs and Administrative Affairs.  The prioritization of budget requests at both the Campuswide Computer Coordinating Committee and the Budget Committee references the annual goals of the College or the Technology Master plan.</w:t>
      </w:r>
    </w:p>
    <w:p w14:paraId="23F15FA4" w14:textId="77777777" w:rsidR="000553D9" w:rsidRDefault="008D6059">
      <w:pPr>
        <w:pStyle w:val="Normal1"/>
      </w:pPr>
      <w:r>
        <w:t xml:space="preserve"> </w:t>
      </w:r>
    </w:p>
    <w:p w14:paraId="7DEED045" w14:textId="77777777" w:rsidR="000553D9" w:rsidRDefault="008D6059">
      <w:pPr>
        <w:pStyle w:val="Normal1"/>
      </w:pPr>
      <w:r>
        <w:t>The changes made to the College budget and to the resource allocation process have tied technology planning more closely to budgeting.  The implementation of the capital outlay fee is an important step, but it is clearly not sufficient to fund the College’s technology needs by itself.  The College will continue to work to increase the amount in the future. Funding will be supplemented by grants and special projects while an increase in ongoing funds are reallocated to technology as a budget line item.</w:t>
      </w:r>
    </w:p>
    <w:p w14:paraId="4DB8E206" w14:textId="77777777" w:rsidR="000553D9" w:rsidRDefault="000553D9">
      <w:pPr>
        <w:pStyle w:val="Normal1"/>
      </w:pPr>
    </w:p>
    <w:p w14:paraId="48C3DCDE" w14:textId="77777777" w:rsidR="000553D9" w:rsidRDefault="000553D9">
      <w:pPr>
        <w:pStyle w:val="Normal1"/>
      </w:pPr>
    </w:p>
    <w:p w14:paraId="1CFCFE94" w14:textId="77777777" w:rsidR="000553D9" w:rsidRDefault="000553D9">
      <w:pPr>
        <w:pStyle w:val="Normal1"/>
      </w:pPr>
    </w:p>
    <w:p w14:paraId="30BF23A5" w14:textId="77777777" w:rsidR="000553D9" w:rsidRDefault="000553D9">
      <w:pPr>
        <w:pStyle w:val="Normal1"/>
      </w:pPr>
    </w:p>
    <w:p w14:paraId="2FC74D67" w14:textId="77777777" w:rsidR="000553D9" w:rsidRDefault="000553D9">
      <w:pPr>
        <w:pStyle w:val="Normal1"/>
      </w:pPr>
    </w:p>
    <w:p w14:paraId="0BF147CE" w14:textId="77777777" w:rsidR="000553D9" w:rsidRDefault="000553D9">
      <w:pPr>
        <w:pStyle w:val="Normal1"/>
      </w:pPr>
    </w:p>
    <w:p w14:paraId="425C6614" w14:textId="77777777" w:rsidR="000553D9" w:rsidRDefault="000553D9">
      <w:pPr>
        <w:pStyle w:val="Normal1"/>
      </w:pPr>
    </w:p>
    <w:p w14:paraId="6DC4E89A" w14:textId="77777777" w:rsidR="000553D9" w:rsidRDefault="000553D9">
      <w:pPr>
        <w:pStyle w:val="Normal1"/>
      </w:pPr>
    </w:p>
    <w:p w14:paraId="361C45E5" w14:textId="77777777" w:rsidR="000553D9" w:rsidRDefault="008D6059">
      <w:pPr>
        <w:pStyle w:val="Normal1"/>
      </w:pPr>
      <w:r>
        <w:br w:type="page"/>
      </w:r>
    </w:p>
    <w:p w14:paraId="75B23609" w14:textId="77777777" w:rsidR="000553D9" w:rsidRDefault="000553D9">
      <w:pPr>
        <w:pStyle w:val="Normal1"/>
      </w:pPr>
    </w:p>
    <w:p w14:paraId="50CFDAEC" w14:textId="77777777" w:rsidR="000553D9" w:rsidRDefault="008D6059">
      <w:pPr>
        <w:pStyle w:val="Heading4"/>
      </w:pPr>
      <w:bookmarkStart w:id="13" w:name="h.s18yq69fauiz" w:colFirst="0" w:colLast="0"/>
      <w:bookmarkEnd w:id="13"/>
      <w:r>
        <w:t>Recommendation 7</w:t>
      </w:r>
    </w:p>
    <w:p w14:paraId="510E800D" w14:textId="77777777" w:rsidR="000553D9" w:rsidRDefault="008D6059">
      <w:pPr>
        <w:pStyle w:val="Normal1"/>
      </w:pPr>
      <w:r>
        <w:tab/>
      </w:r>
      <w:r>
        <w:tab/>
        <w:t xml:space="preserve"> </w:t>
      </w:r>
      <w:r>
        <w:tab/>
        <w:t xml:space="preserve"> </w:t>
      </w:r>
      <w:r>
        <w:tab/>
        <w:t xml:space="preserve"> </w:t>
      </w:r>
      <w:r>
        <w:tab/>
      </w:r>
      <w:r>
        <w:tab/>
      </w:r>
    </w:p>
    <w:p w14:paraId="34535747" w14:textId="77777777" w:rsidR="000553D9" w:rsidRDefault="008D6059">
      <w:pPr>
        <w:pStyle w:val="Normal1"/>
      </w:pPr>
      <w:r>
        <w:rPr>
          <w:i/>
        </w:rPr>
        <w:t xml:space="preserve">Recommendation 7: Building on the recommendation of the 2004 evaluation team, the team recommends that the college address the issue of inadequate staffing levels for its maintenance and custodial functions, including training to increase efficiency and productivity, as well as the lack of security between the hours of midnight and 6:00 a.m. (Standards IIIA.5, IIIB.1b). </w:t>
      </w:r>
    </w:p>
    <w:p w14:paraId="7C480F7D" w14:textId="77777777" w:rsidR="000553D9" w:rsidRDefault="000553D9">
      <w:pPr>
        <w:pStyle w:val="Normal1"/>
      </w:pPr>
    </w:p>
    <w:p w14:paraId="7387204C" w14:textId="77777777" w:rsidR="000553D9" w:rsidRDefault="008D6059">
      <w:pPr>
        <w:pStyle w:val="Normal1"/>
      </w:pPr>
      <w:r>
        <w:rPr>
          <w:b/>
        </w:rPr>
        <w:t>Description of Institutional Response to Recommendation</w:t>
      </w:r>
    </w:p>
    <w:p w14:paraId="21EF0769" w14:textId="77777777" w:rsidR="000553D9" w:rsidRDefault="000553D9">
      <w:pPr>
        <w:pStyle w:val="Normal1"/>
      </w:pPr>
    </w:p>
    <w:p w14:paraId="69FC0E19" w14:textId="77777777" w:rsidR="000553D9" w:rsidRDefault="008D6059">
      <w:pPr>
        <w:pStyle w:val="Normal1"/>
      </w:pPr>
      <w:r>
        <w:t>The College is committed to addressing the staffing levels in the Facilities Department and around the clock security. Although budget constraints continue to limit the amount of hiring on a college-wide basis, the College has committed to addressing Facilities needs with recent hires.  The college has also worked to provide coverage for security from midnight to 6:00 a.m. by arranging an agreement with Glendale Police Department.</w:t>
      </w:r>
    </w:p>
    <w:p w14:paraId="05B5D5D0" w14:textId="77777777" w:rsidR="000553D9" w:rsidRDefault="000553D9">
      <w:pPr>
        <w:pStyle w:val="Normal1"/>
      </w:pPr>
    </w:p>
    <w:p w14:paraId="2BD8424A" w14:textId="77777777" w:rsidR="000553D9" w:rsidRDefault="008D6059">
      <w:pPr>
        <w:pStyle w:val="Normal1"/>
      </w:pPr>
      <w:r>
        <w:rPr>
          <w:b/>
        </w:rPr>
        <w:t>Demonstration that Deficiencies Have Been Resolved</w:t>
      </w:r>
    </w:p>
    <w:p w14:paraId="2273CD6D" w14:textId="77777777" w:rsidR="000553D9" w:rsidRDefault="008D6059">
      <w:pPr>
        <w:pStyle w:val="Normal1"/>
      </w:pPr>
      <w:r>
        <w:t xml:space="preserve"> </w:t>
      </w:r>
    </w:p>
    <w:p w14:paraId="4F9C9F72" w14:textId="77777777" w:rsidR="000553D9" w:rsidRDefault="008D6059">
      <w:pPr>
        <w:pStyle w:val="Normal1"/>
      </w:pPr>
      <w:r>
        <w:t xml:space="preserve">Progress has been made in Facilities staffing.  The College was able to hire two additional permanent custodians in 2007, two permanent part-time custodians in 2009, and another full time custodian in 2011.  An additional gardener was added in 2012 and most recently the Director of Facilities position was filled.  To maintain adequate coverage, the Facilities department has used hourly workers when needed. </w:t>
      </w:r>
    </w:p>
    <w:p w14:paraId="469DB1E1" w14:textId="77777777" w:rsidR="000553D9" w:rsidRDefault="000553D9">
      <w:pPr>
        <w:pStyle w:val="Normal1"/>
      </w:pPr>
    </w:p>
    <w:p w14:paraId="2ABDD9EF" w14:textId="77777777" w:rsidR="000553D9" w:rsidRDefault="008D6059">
      <w:pPr>
        <w:pStyle w:val="Normal1"/>
      </w:pPr>
      <w:r>
        <w:t>A new process for hiring classified staff coordinated by the Classified Hiring Allocation Committee (CHAC) has been implemented [Ref. 7-1]. This committee reviews and prioritizes the hiring of all classified employee positions.  The hiring of Facilities staff is currently included in this process.</w:t>
      </w:r>
    </w:p>
    <w:p w14:paraId="505E6D74" w14:textId="77777777" w:rsidR="000553D9" w:rsidRDefault="008D6059">
      <w:pPr>
        <w:pStyle w:val="Normal1"/>
      </w:pPr>
      <w:r>
        <w:t xml:space="preserve"> </w:t>
      </w:r>
    </w:p>
    <w:p w14:paraId="5199EDDB" w14:textId="77777777" w:rsidR="000553D9" w:rsidRDefault="008D6059">
      <w:pPr>
        <w:pStyle w:val="Normal1"/>
      </w:pPr>
      <w:r>
        <w:t>The College has addressed its inadequate staffing levels by identifying areas in which to increase staff efficiency in work assignments.</w:t>
      </w:r>
      <w:r>
        <w:rPr>
          <w:color w:val="FF00FF"/>
        </w:rPr>
        <w:t xml:space="preserve"> </w:t>
      </w:r>
      <w:r>
        <w:t>Following are the areas and actions which the College has taken to increase employee efficiency and address the understaffing in the Facilities Department:</w:t>
      </w:r>
    </w:p>
    <w:p w14:paraId="1946C7EC" w14:textId="77777777" w:rsidR="000553D9" w:rsidRDefault="008D6059">
      <w:pPr>
        <w:pStyle w:val="Normal1"/>
      </w:pPr>
      <w:r>
        <w:t xml:space="preserve"> </w:t>
      </w:r>
    </w:p>
    <w:p w14:paraId="4B7068A6" w14:textId="77777777" w:rsidR="000553D9" w:rsidRDefault="008D6059">
      <w:pPr>
        <w:pStyle w:val="Normal1"/>
        <w:tabs>
          <w:tab w:val="left" w:pos="1170"/>
        </w:tabs>
        <w:ind w:left="1170" w:hanging="449"/>
      </w:pPr>
      <w:r>
        <w:t>1)</w:t>
      </w:r>
      <w:r>
        <w:rPr>
          <w:rFonts w:ascii="Times New Roman" w:eastAsia="Times New Roman" w:hAnsi="Times New Roman" w:cs="Times New Roman"/>
        </w:rPr>
        <w:tab/>
      </w:r>
      <w:r>
        <w:t>Some custodial tasks such as cleaning blinds and vacuuming are done less frequently now.</w:t>
      </w:r>
    </w:p>
    <w:p w14:paraId="326B7FD2" w14:textId="77777777" w:rsidR="000553D9" w:rsidRDefault="008D6059">
      <w:pPr>
        <w:pStyle w:val="Normal1"/>
        <w:tabs>
          <w:tab w:val="left" w:pos="1170"/>
        </w:tabs>
        <w:ind w:left="1170" w:hanging="449"/>
      </w:pPr>
      <w:r>
        <w:t>2)</w:t>
      </w:r>
      <w:r>
        <w:rPr>
          <w:rFonts w:ascii="Times New Roman" w:eastAsia="Times New Roman" w:hAnsi="Times New Roman" w:cs="Times New Roman"/>
        </w:rPr>
        <w:tab/>
      </w:r>
      <w:r>
        <w:t>The College has purchased high speed battery powered floor buffers, which work faster than previous equipment.</w:t>
      </w:r>
    </w:p>
    <w:p w14:paraId="61137B1F" w14:textId="77777777" w:rsidR="000553D9" w:rsidRDefault="008D6059">
      <w:pPr>
        <w:pStyle w:val="Normal1"/>
        <w:tabs>
          <w:tab w:val="left" w:pos="1170"/>
        </w:tabs>
        <w:ind w:left="1170" w:hanging="449"/>
      </w:pPr>
      <w:r>
        <w:t>3)</w:t>
      </w:r>
      <w:r>
        <w:rPr>
          <w:rFonts w:ascii="Times New Roman" w:eastAsia="Times New Roman" w:hAnsi="Times New Roman" w:cs="Times New Roman"/>
        </w:rPr>
        <w:tab/>
      </w:r>
      <w:r>
        <w:t xml:space="preserve">The College has purchased </w:t>
      </w:r>
      <w:proofErr w:type="spellStart"/>
      <w:r>
        <w:t>KaiVac</w:t>
      </w:r>
      <w:proofErr w:type="spellEnd"/>
      <w:r>
        <w:t xml:space="preserve"> cleaning machines for use in restrooms.</w:t>
      </w:r>
    </w:p>
    <w:p w14:paraId="43673A50" w14:textId="77777777" w:rsidR="000553D9" w:rsidRDefault="008D6059">
      <w:pPr>
        <w:pStyle w:val="Normal1"/>
        <w:tabs>
          <w:tab w:val="left" w:pos="1170"/>
        </w:tabs>
        <w:ind w:left="1170" w:hanging="449"/>
      </w:pPr>
      <w:r>
        <w:t>4)</w:t>
      </w:r>
      <w:r>
        <w:rPr>
          <w:rFonts w:ascii="Times New Roman" w:eastAsia="Times New Roman" w:hAnsi="Times New Roman" w:cs="Times New Roman"/>
        </w:rPr>
        <w:tab/>
      </w:r>
      <w:r>
        <w:t>The College has purchased a carpet extraction machine that is helping to clean faster and better.</w:t>
      </w:r>
    </w:p>
    <w:p w14:paraId="6A34F809" w14:textId="77777777" w:rsidR="000553D9" w:rsidRDefault="000553D9">
      <w:pPr>
        <w:pStyle w:val="Normal1"/>
      </w:pPr>
    </w:p>
    <w:p w14:paraId="0D1C5D78" w14:textId="77777777" w:rsidR="000553D9" w:rsidRDefault="008D6059">
      <w:pPr>
        <w:pStyle w:val="Normal1"/>
      </w:pPr>
      <w:r>
        <w:lastRenderedPageBreak/>
        <w:t xml:space="preserve">Custodians received training on the safe use of the high speed battery powered floor buffers, </w:t>
      </w:r>
      <w:proofErr w:type="spellStart"/>
      <w:r>
        <w:t>KaiVac</w:t>
      </w:r>
      <w:proofErr w:type="spellEnd"/>
      <w:r>
        <w:t xml:space="preserve"> cleaning machines and the carpet extraction machines.  These purchase enabled the custodians to clean more efficiently. </w:t>
      </w:r>
    </w:p>
    <w:p w14:paraId="143A8329" w14:textId="77777777" w:rsidR="000553D9" w:rsidRDefault="000553D9">
      <w:pPr>
        <w:pStyle w:val="Normal1"/>
      </w:pPr>
    </w:p>
    <w:p w14:paraId="23C68913" w14:textId="77777777" w:rsidR="000553D9" w:rsidRDefault="008D6059">
      <w:pPr>
        <w:pStyle w:val="Normal1"/>
      </w:pPr>
      <w:r>
        <w:t xml:space="preserve">In 2010, the College eliminated its second summer session, which resulted in a six week period during which no classes were offered.  In 2011, the College eliminated its winter session which resulted in an additional six week period during which no classes were offered.  During these periods of time, the facilities </w:t>
      </w:r>
      <w:proofErr w:type="gramStart"/>
      <w:r>
        <w:t>staff were</w:t>
      </w:r>
      <w:proofErr w:type="gramEnd"/>
      <w:r>
        <w:t xml:space="preserve"> able to perform “deep cleaning” in areas that had been put off for years. </w:t>
      </w:r>
      <w:r>
        <w:rPr>
          <w:color w:val="FF00FF"/>
        </w:rPr>
        <w:t xml:space="preserve"> </w:t>
      </w:r>
      <w:r>
        <w:t>Without this downtime, additional staff would have been required to perform the “deep cleaning.”</w:t>
      </w:r>
      <w:r>
        <w:rPr>
          <w:color w:val="FF00FF"/>
        </w:rPr>
        <w:t xml:space="preserve">  </w:t>
      </w:r>
    </w:p>
    <w:p w14:paraId="128554D4" w14:textId="77777777" w:rsidR="000553D9" w:rsidRDefault="008D6059">
      <w:pPr>
        <w:pStyle w:val="Normal1"/>
      </w:pPr>
      <w:r>
        <w:t xml:space="preserve"> </w:t>
      </w:r>
    </w:p>
    <w:p w14:paraId="201401F7" w14:textId="098FAE91" w:rsidR="000553D9" w:rsidRDefault="008D6059">
      <w:pPr>
        <w:pStyle w:val="Normal1"/>
      </w:pPr>
      <w:r>
        <w:t xml:space="preserve">In 2005, the Campus Police Office developed a College </w:t>
      </w:r>
      <w:r w:rsidR="008C01B0">
        <w:t xml:space="preserve">Emergency Operation </w:t>
      </w:r>
      <w:r>
        <w:t xml:space="preserve">Plan [Ref. 7-2] addressing 24 hour College security coverage.  This plan was to be implemented over a six year period.  The College began implementing the plan and met the staffing requirements of the first two years through the hiring of two new communication and records specialists and two police officers.  The third year of the implementation called for hiring new community service officers.  The community service officer positions were going to be responsible for the midnight to 6:00 a.m. shift.  The job descriptions were written, but at this point the College began experiencing budget problems and the plan was put on hold. </w:t>
      </w:r>
    </w:p>
    <w:p w14:paraId="3A9C1601" w14:textId="77777777" w:rsidR="000553D9" w:rsidRDefault="000553D9">
      <w:pPr>
        <w:pStyle w:val="Normal1"/>
      </w:pPr>
    </w:p>
    <w:p w14:paraId="110503D3" w14:textId="77777777" w:rsidR="000553D9" w:rsidRDefault="008D6059">
      <w:pPr>
        <w:pStyle w:val="Normal1"/>
      </w:pPr>
      <w:r>
        <w:t xml:space="preserve">The Campus Police Office has reorganized to improve operations.  The police captain position has been eliminated and two police sergeant positions were created.  One sergeant supervises the day shift and the other the night shift.  The cadet program has also been increased to fifteen cadets from the previous level of ten.  This change has provided more coverage and additional support to the department. </w:t>
      </w:r>
    </w:p>
    <w:p w14:paraId="087078DE" w14:textId="77777777" w:rsidR="000553D9" w:rsidRDefault="008D6059">
      <w:pPr>
        <w:pStyle w:val="Normal1"/>
      </w:pPr>
      <w:r>
        <w:t xml:space="preserve"> </w:t>
      </w:r>
    </w:p>
    <w:p w14:paraId="5DD98D80" w14:textId="77777777" w:rsidR="000553D9" w:rsidRDefault="008D6059">
      <w:pPr>
        <w:pStyle w:val="Normal1"/>
      </w:pPr>
      <w:r>
        <w:t xml:space="preserve">The College continues to rely on the arrangement with Glendale Police Department for security during the midnight to 6:00 a.m. period.  The College has an employee presence on campus as it still has a graveyard shift for custodians.  These employees are staffed with radios and have been instructed to call the Glendale Police Department in the event of an emergency.  So far, there hasn’t been a need to make any calls. </w:t>
      </w:r>
    </w:p>
    <w:p w14:paraId="7E1651D2" w14:textId="77777777" w:rsidR="000553D9" w:rsidRDefault="008D6059">
      <w:pPr>
        <w:pStyle w:val="Normal1"/>
      </w:pPr>
      <w:r>
        <w:t xml:space="preserve"> </w:t>
      </w:r>
    </w:p>
    <w:p w14:paraId="394DDBD4" w14:textId="37B63E9B" w:rsidR="000553D9" w:rsidRDefault="008D6059">
      <w:pPr>
        <w:pStyle w:val="Normal1"/>
      </w:pPr>
      <w:r>
        <w:t xml:space="preserve">The College’s arrangement with the Glendale Police Department to be the primary agency for any required response during the midnight to 6:00 a.m. period has continued.  [Ref. 7-3]  The Glendale Police Department makes a regular patrol of the College and serves as the primary agency for field emergencies, field investigations, </w:t>
      </w:r>
      <w:proofErr w:type="gramStart"/>
      <w:r>
        <w:t>observations</w:t>
      </w:r>
      <w:proofErr w:type="gramEnd"/>
      <w:r>
        <w:t xml:space="preserve"> by patrol officers, traffic enforcement, and parking enforcement during these hours.  As additional funding becomes available, the College’s resource allocation process will determine the amount of funding that can be provided to continue the implementation of the College </w:t>
      </w:r>
      <w:r w:rsidR="008C01B0">
        <w:t>Emergency Operation</w:t>
      </w:r>
      <w:r>
        <w:t xml:space="preserve"> Plan. </w:t>
      </w:r>
    </w:p>
    <w:p w14:paraId="7AF71546" w14:textId="77777777" w:rsidR="000553D9" w:rsidRDefault="000553D9">
      <w:pPr>
        <w:pStyle w:val="Normal1"/>
      </w:pPr>
    </w:p>
    <w:p w14:paraId="712573A2" w14:textId="77777777" w:rsidR="008D6059" w:rsidRDefault="008D6059">
      <w:pPr>
        <w:pStyle w:val="Normal1"/>
      </w:pPr>
    </w:p>
    <w:p w14:paraId="73F826A6" w14:textId="77777777" w:rsidR="000553D9" w:rsidRDefault="008D6059">
      <w:pPr>
        <w:pStyle w:val="Heading4"/>
      </w:pPr>
      <w:bookmarkStart w:id="14" w:name="h.4ec0vh7qc4je" w:colFirst="0" w:colLast="0"/>
      <w:bookmarkEnd w:id="14"/>
      <w:r>
        <w:lastRenderedPageBreak/>
        <w:t>Recommendation 8</w:t>
      </w:r>
    </w:p>
    <w:p w14:paraId="11EF90D7" w14:textId="77777777" w:rsidR="000553D9" w:rsidRDefault="008D6059">
      <w:pPr>
        <w:pStyle w:val="Normal1"/>
      </w:pPr>
      <w:r>
        <w:tab/>
      </w:r>
      <w:r>
        <w:tab/>
        <w:t xml:space="preserve"> </w:t>
      </w:r>
      <w:r>
        <w:tab/>
        <w:t xml:space="preserve"> </w:t>
      </w:r>
      <w:r>
        <w:tab/>
        <w:t xml:space="preserve"> </w:t>
      </w:r>
      <w:r>
        <w:tab/>
      </w:r>
      <w:r>
        <w:tab/>
      </w:r>
    </w:p>
    <w:p w14:paraId="2E943630" w14:textId="77777777" w:rsidR="000553D9" w:rsidRDefault="008D6059">
      <w:pPr>
        <w:pStyle w:val="Normal1"/>
      </w:pPr>
      <w:r>
        <w:rPr>
          <w:i/>
        </w:rPr>
        <w:t xml:space="preserve">Recommendation 8: The team recommends that the college take the necessary steps to ensure the safety of the servers so that the system does not shut down due to overheating. (Standard IIIB.2.a) </w:t>
      </w:r>
    </w:p>
    <w:p w14:paraId="06EF9E1E" w14:textId="77777777" w:rsidR="000553D9" w:rsidRDefault="000553D9">
      <w:pPr>
        <w:pStyle w:val="Normal1"/>
      </w:pPr>
    </w:p>
    <w:p w14:paraId="31918DBC" w14:textId="77777777" w:rsidR="000553D9" w:rsidRDefault="000553D9">
      <w:pPr>
        <w:pStyle w:val="Normal1"/>
      </w:pPr>
    </w:p>
    <w:p w14:paraId="37F73EE9" w14:textId="77777777" w:rsidR="000553D9" w:rsidRDefault="008D6059">
      <w:pPr>
        <w:pStyle w:val="Normal1"/>
      </w:pPr>
      <w:r>
        <w:rPr>
          <w:b/>
        </w:rPr>
        <w:t>Description of Institutional Response to Recommendation</w:t>
      </w:r>
    </w:p>
    <w:p w14:paraId="233553C7" w14:textId="77777777" w:rsidR="000553D9" w:rsidRDefault="000553D9">
      <w:pPr>
        <w:pStyle w:val="Normal1"/>
      </w:pPr>
    </w:p>
    <w:p w14:paraId="4FDBB8AF" w14:textId="77777777" w:rsidR="000553D9" w:rsidRDefault="008D6059">
      <w:pPr>
        <w:pStyle w:val="Normal1"/>
      </w:pPr>
      <w:r>
        <w:t>The College has addressed the physical safety of the computer servers by developing and implementing a plan to remodel the server room. As of winter 2013, the implementation is nearly complete.</w:t>
      </w:r>
    </w:p>
    <w:p w14:paraId="3B48DEAD" w14:textId="77777777" w:rsidR="000553D9" w:rsidRDefault="000553D9">
      <w:pPr>
        <w:pStyle w:val="Normal1"/>
      </w:pPr>
    </w:p>
    <w:p w14:paraId="75936929" w14:textId="77777777" w:rsidR="000553D9" w:rsidRDefault="008D6059">
      <w:pPr>
        <w:pStyle w:val="Normal1"/>
      </w:pPr>
      <w:r>
        <w:rPr>
          <w:b/>
        </w:rPr>
        <w:t>Demonstration that Deficiencies Have Been Resolved</w:t>
      </w:r>
    </w:p>
    <w:p w14:paraId="333653B0" w14:textId="77777777" w:rsidR="000553D9" w:rsidRDefault="000553D9">
      <w:pPr>
        <w:pStyle w:val="Normal1"/>
      </w:pPr>
    </w:p>
    <w:p w14:paraId="46356246" w14:textId="77777777" w:rsidR="000553D9" w:rsidRDefault="008D6059">
      <w:pPr>
        <w:pStyle w:val="Normal1"/>
      </w:pPr>
      <w:r>
        <w:t>At its October 17, 2011 board meeting, the Board of Trustees approved a request for $1 million to upgrade the data center (i.e. server room) to improve efficiency and to minimize the risk of server overheating [Ref. 8-1].  Funding was allocated from Measure G, the College’s facilities bond measure that passed in 2002. The project budget was augmented by $500,000 at the November 19, 2012 Board meeting.</w:t>
      </w:r>
    </w:p>
    <w:p w14:paraId="09080162" w14:textId="77777777" w:rsidR="000553D9" w:rsidRDefault="008D6059">
      <w:pPr>
        <w:pStyle w:val="Normal1"/>
      </w:pPr>
      <w:r>
        <w:t xml:space="preserve"> </w:t>
      </w:r>
    </w:p>
    <w:p w14:paraId="1329B9F0" w14:textId="77777777" w:rsidR="000553D9" w:rsidRDefault="008D6059">
      <w:pPr>
        <w:pStyle w:val="Normal1"/>
      </w:pPr>
      <w:r>
        <w:t xml:space="preserve">In order to respond to the issues identified above, a plan was developed to reconfigure the server room into a modern data center [Ref. 8-2].  The architect firm, </w:t>
      </w:r>
      <w:proofErr w:type="spellStart"/>
      <w:r>
        <w:t>Flewelling</w:t>
      </w:r>
      <w:proofErr w:type="spellEnd"/>
      <w:r>
        <w:t xml:space="preserve"> and Moody, was hired to develop the detailed plans.  Electrical, mechanical, and structural engineers were retained to help with the project design.  The construction design documents were completed and submitted to the Division of State Architect on July 20, 2012.</w:t>
      </w:r>
    </w:p>
    <w:p w14:paraId="42CEDB8B" w14:textId="77777777" w:rsidR="000553D9" w:rsidRDefault="008D6059">
      <w:pPr>
        <w:pStyle w:val="Normal1"/>
      </w:pPr>
      <w:r>
        <w:t xml:space="preserve"> </w:t>
      </w:r>
    </w:p>
    <w:p w14:paraId="14C9358C" w14:textId="77777777" w:rsidR="000553D9" w:rsidRDefault="008D6059">
      <w:pPr>
        <w:pStyle w:val="Normal1"/>
      </w:pPr>
      <w:r>
        <w:t>The following actions describe how the server room issues are being resolved:</w:t>
      </w:r>
    </w:p>
    <w:p w14:paraId="0617EB5E" w14:textId="77777777" w:rsidR="000553D9" w:rsidRDefault="008D6059">
      <w:pPr>
        <w:pStyle w:val="Normal1"/>
      </w:pPr>
      <w:r>
        <w:t xml:space="preserve"> </w:t>
      </w:r>
    </w:p>
    <w:p w14:paraId="5EAD2EC4" w14:textId="77777777" w:rsidR="000553D9" w:rsidRDefault="008D6059">
      <w:pPr>
        <w:pStyle w:val="Normal1"/>
      </w:pPr>
      <w:r>
        <w:t>1)</w:t>
      </w:r>
      <w:r>
        <w:rPr>
          <w:rFonts w:ascii="Times New Roman" w:eastAsia="Times New Roman" w:hAnsi="Times New Roman" w:cs="Times New Roman"/>
        </w:rPr>
        <w:t xml:space="preserve">    </w:t>
      </w:r>
      <w:r>
        <w:t>Cooling and Air Flow</w:t>
      </w:r>
    </w:p>
    <w:p w14:paraId="34E80931" w14:textId="77777777" w:rsidR="000553D9" w:rsidRDefault="008D6059">
      <w:pPr>
        <w:pStyle w:val="Normal1"/>
      </w:pPr>
      <w:r>
        <w:t xml:space="preserve"> </w:t>
      </w:r>
    </w:p>
    <w:p w14:paraId="44B57D89" w14:textId="77777777" w:rsidR="000553D9" w:rsidRDefault="008D6059">
      <w:pPr>
        <w:pStyle w:val="Normal1"/>
      </w:pPr>
      <w:r>
        <w:t>The following activities were identified to address the cooling in the data center.</w:t>
      </w:r>
    </w:p>
    <w:p w14:paraId="019DB75B" w14:textId="77777777" w:rsidR="000553D9" w:rsidRDefault="008D6059">
      <w:pPr>
        <w:pStyle w:val="Normal1"/>
      </w:pPr>
      <w:r>
        <w:t xml:space="preserve"> </w:t>
      </w:r>
    </w:p>
    <w:p w14:paraId="1A8FD595" w14:textId="77777777" w:rsidR="000553D9" w:rsidRDefault="008D6059">
      <w:pPr>
        <w:pStyle w:val="Normal1"/>
        <w:numPr>
          <w:ilvl w:val="0"/>
          <w:numId w:val="3"/>
        </w:numPr>
        <w:ind w:hanging="359"/>
      </w:pPr>
      <w:r>
        <w:t>Recalculate the cooling requirements used by all equipment located in the data center with room for expansion.</w:t>
      </w:r>
    </w:p>
    <w:p w14:paraId="1B017F76" w14:textId="77777777" w:rsidR="000553D9" w:rsidRDefault="008D6059">
      <w:pPr>
        <w:pStyle w:val="Normal1"/>
        <w:numPr>
          <w:ilvl w:val="0"/>
          <w:numId w:val="3"/>
        </w:numPr>
        <w:ind w:hanging="359"/>
      </w:pPr>
      <w:r>
        <w:t>Replace two new computer room air conditioning redundant refrigerant-based (DX) down flow units that will support 24/7/365 operations.</w:t>
      </w:r>
    </w:p>
    <w:p w14:paraId="2383980A" w14:textId="77777777" w:rsidR="000553D9" w:rsidRDefault="008D6059">
      <w:pPr>
        <w:pStyle w:val="Normal1"/>
        <w:numPr>
          <w:ilvl w:val="0"/>
          <w:numId w:val="3"/>
        </w:numPr>
        <w:ind w:hanging="359"/>
      </w:pPr>
      <w:r>
        <w:t>Remove the internal walls within the data center to maximize airflow efficiency and space utilization.</w:t>
      </w:r>
    </w:p>
    <w:p w14:paraId="0A6C8261" w14:textId="77777777" w:rsidR="000553D9" w:rsidRDefault="008D6059">
      <w:pPr>
        <w:pStyle w:val="Normal1"/>
        <w:numPr>
          <w:ilvl w:val="0"/>
          <w:numId w:val="3"/>
        </w:numPr>
        <w:ind w:hanging="359"/>
      </w:pPr>
      <w:r>
        <w:t>Rearrange the server cabinet rows to create a hot aisle/cold aisle layout and separate inlet cold air and exhaust hot air.  This will improve cooling and lower costs through better airflow management.</w:t>
      </w:r>
    </w:p>
    <w:p w14:paraId="7FD26AAF" w14:textId="77777777" w:rsidR="000553D9" w:rsidRDefault="008D6059">
      <w:pPr>
        <w:pStyle w:val="Normal1"/>
        <w:numPr>
          <w:ilvl w:val="0"/>
          <w:numId w:val="3"/>
        </w:numPr>
        <w:ind w:hanging="359"/>
      </w:pPr>
      <w:r>
        <w:lastRenderedPageBreak/>
        <w:t>Relocate the data cable and electrical power from under the raised floors to overhead cable trays.  This will reduce air flow restrictions.</w:t>
      </w:r>
    </w:p>
    <w:p w14:paraId="4653C0E9" w14:textId="77777777" w:rsidR="000553D9" w:rsidRDefault="008D6059">
      <w:pPr>
        <w:pStyle w:val="Normal1"/>
        <w:numPr>
          <w:ilvl w:val="0"/>
          <w:numId w:val="3"/>
        </w:numPr>
        <w:ind w:hanging="359"/>
      </w:pPr>
      <w:r>
        <w:t>Replace the raised floor perforated tiles with new high performance air grates to reduce the static pressure and increase the air flow from the AC units in front of every rack.</w:t>
      </w:r>
    </w:p>
    <w:p w14:paraId="161C7A25" w14:textId="77777777" w:rsidR="000553D9" w:rsidRDefault="008D6059">
      <w:pPr>
        <w:pStyle w:val="Normal1"/>
        <w:numPr>
          <w:ilvl w:val="0"/>
          <w:numId w:val="3"/>
        </w:numPr>
        <w:ind w:hanging="359"/>
      </w:pPr>
      <w:r>
        <w:t>Use the plenum ceiling return air to decrease the mixing of hot and cold air.  This will help reduce short cycling when cold air is pulled directly into the air handlers without cooling the equipment in the racks.</w:t>
      </w:r>
    </w:p>
    <w:p w14:paraId="5D86AC90" w14:textId="77777777" w:rsidR="000553D9" w:rsidRDefault="008D6059">
      <w:pPr>
        <w:pStyle w:val="Normal1"/>
      </w:pPr>
      <w:r>
        <w:t xml:space="preserve"> </w:t>
      </w:r>
    </w:p>
    <w:p w14:paraId="12970953" w14:textId="77777777" w:rsidR="000553D9" w:rsidRDefault="008D6059">
      <w:pPr>
        <w:pStyle w:val="Normal1"/>
      </w:pPr>
      <w:r>
        <w:t>2)</w:t>
      </w:r>
      <w:r>
        <w:rPr>
          <w:rFonts w:ascii="Times New Roman" w:eastAsia="Times New Roman" w:hAnsi="Times New Roman" w:cs="Times New Roman"/>
        </w:rPr>
        <w:t xml:space="preserve">    </w:t>
      </w:r>
      <w:r>
        <w:t>Power</w:t>
      </w:r>
    </w:p>
    <w:p w14:paraId="474D760A" w14:textId="77777777" w:rsidR="000553D9" w:rsidRDefault="008D6059">
      <w:pPr>
        <w:pStyle w:val="Normal1"/>
      </w:pPr>
      <w:r>
        <w:t xml:space="preserve"> </w:t>
      </w:r>
    </w:p>
    <w:p w14:paraId="01B64304" w14:textId="77777777" w:rsidR="000553D9" w:rsidRDefault="008D6059">
      <w:pPr>
        <w:pStyle w:val="Normal1"/>
      </w:pPr>
      <w:r>
        <w:t>The following activities were identified to address the data center power issues:</w:t>
      </w:r>
    </w:p>
    <w:p w14:paraId="48359AB6" w14:textId="77777777" w:rsidR="000553D9" w:rsidRDefault="008D6059">
      <w:pPr>
        <w:pStyle w:val="Normal1"/>
      </w:pPr>
      <w:r>
        <w:t xml:space="preserve"> </w:t>
      </w:r>
    </w:p>
    <w:p w14:paraId="4B7D230B" w14:textId="77777777" w:rsidR="000553D9" w:rsidRDefault="008D6059">
      <w:pPr>
        <w:pStyle w:val="Normal1"/>
        <w:numPr>
          <w:ilvl w:val="0"/>
          <w:numId w:val="1"/>
        </w:numPr>
        <w:ind w:hanging="359"/>
      </w:pPr>
      <w:r>
        <w:t>Replace the distributed rack-mounted Uninterruptible Power Supply (UPS) system with a centralized, fault tolerant (N+1) UPS system.</w:t>
      </w:r>
    </w:p>
    <w:p w14:paraId="1AB62F32" w14:textId="77777777" w:rsidR="000553D9" w:rsidRDefault="008D6059">
      <w:pPr>
        <w:pStyle w:val="Normal1"/>
        <w:numPr>
          <w:ilvl w:val="0"/>
          <w:numId w:val="1"/>
        </w:numPr>
        <w:ind w:hanging="359"/>
      </w:pPr>
      <w:r>
        <w:t>Install a standby emergency generator to power emergency circuits to the AC units, UPS system, and the lights in the server room to ensure instantaneous switchover in the event of a power failure.</w:t>
      </w:r>
    </w:p>
    <w:p w14:paraId="5A3D4E9B" w14:textId="77777777" w:rsidR="000553D9" w:rsidRDefault="008D6059">
      <w:pPr>
        <w:pStyle w:val="Normal1"/>
      </w:pPr>
      <w:r>
        <w:t xml:space="preserve"> </w:t>
      </w:r>
    </w:p>
    <w:p w14:paraId="7CFD680C" w14:textId="77777777" w:rsidR="000553D9" w:rsidRDefault="008D6059">
      <w:pPr>
        <w:pStyle w:val="Normal1"/>
      </w:pPr>
      <w:r>
        <w:t>The activities listed above will raise the level of protection of the data center so it is appropriate for the needs of Glendale Community College.  This investment protects the computer and network equipment in the data center from serious damage and extended downtime by ensuring that appropriate cooling and power will be available 24/7/365.  Upon completions of this project, the College will be safeguarding its data and systems, increasing computer reliability, meeting the access needs of students, faculty, and staff and raising the data protection up to best practices and industry-accepted standards</w:t>
      </w:r>
    </w:p>
    <w:p w14:paraId="208D891A" w14:textId="77777777" w:rsidR="000553D9" w:rsidRDefault="008D6059">
      <w:pPr>
        <w:pStyle w:val="Normal1"/>
      </w:pPr>
      <w:r>
        <w:t xml:space="preserve"> </w:t>
      </w:r>
    </w:p>
    <w:p w14:paraId="70D15DEB" w14:textId="77777777" w:rsidR="000553D9" w:rsidRDefault="008D6059">
      <w:pPr>
        <w:pStyle w:val="Normal1"/>
      </w:pPr>
      <w:r>
        <w:t>The following table shows the status of each activity in the reconfiguration:</w:t>
      </w:r>
    </w:p>
    <w:p w14:paraId="2B0CF868" w14:textId="77777777" w:rsidR="000553D9" w:rsidRDefault="008D6059">
      <w:pPr>
        <w:pStyle w:val="Normal1"/>
      </w:pPr>
      <w:r>
        <w:t xml:space="preserve"> </w:t>
      </w:r>
    </w:p>
    <w:tbl>
      <w:tblPr>
        <w:tblW w:w="88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346"/>
        <w:gridCol w:w="1728"/>
        <w:gridCol w:w="1816"/>
      </w:tblGrid>
      <w:tr w:rsidR="000553D9" w14:paraId="5929D8E5" w14:textId="77777777">
        <w:tc>
          <w:tcPr>
            <w:tcW w:w="5345" w:type="dxa"/>
            <w:tcMar>
              <w:top w:w="100" w:type="dxa"/>
              <w:left w:w="100" w:type="dxa"/>
              <w:bottom w:w="100" w:type="dxa"/>
              <w:right w:w="100" w:type="dxa"/>
            </w:tcMar>
          </w:tcPr>
          <w:p w14:paraId="2BA28752" w14:textId="77777777" w:rsidR="000553D9" w:rsidRDefault="008D6059">
            <w:pPr>
              <w:pStyle w:val="Normal1"/>
              <w:ind w:left="200"/>
            </w:pPr>
            <w:r>
              <w:rPr>
                <w:b/>
              </w:rPr>
              <w:t>Description</w:t>
            </w:r>
          </w:p>
        </w:tc>
        <w:tc>
          <w:tcPr>
            <w:tcW w:w="1728" w:type="dxa"/>
            <w:tcMar>
              <w:top w:w="100" w:type="dxa"/>
              <w:left w:w="100" w:type="dxa"/>
              <w:bottom w:w="100" w:type="dxa"/>
              <w:right w:w="100" w:type="dxa"/>
            </w:tcMar>
          </w:tcPr>
          <w:p w14:paraId="152E30F4" w14:textId="77777777" w:rsidR="000553D9" w:rsidRDefault="008D6059">
            <w:pPr>
              <w:pStyle w:val="Normal1"/>
              <w:ind w:left="200"/>
              <w:jc w:val="right"/>
            </w:pPr>
            <w:r>
              <w:rPr>
                <w:b/>
              </w:rPr>
              <w:t>Cost</w:t>
            </w:r>
          </w:p>
        </w:tc>
        <w:tc>
          <w:tcPr>
            <w:tcW w:w="1816" w:type="dxa"/>
            <w:tcMar>
              <w:top w:w="100" w:type="dxa"/>
              <w:left w:w="100" w:type="dxa"/>
              <w:bottom w:w="100" w:type="dxa"/>
              <w:right w:w="100" w:type="dxa"/>
            </w:tcMar>
          </w:tcPr>
          <w:p w14:paraId="2818C427" w14:textId="77777777" w:rsidR="000553D9" w:rsidRDefault="008D6059">
            <w:pPr>
              <w:pStyle w:val="Normal1"/>
              <w:ind w:left="200"/>
            </w:pPr>
            <w:r>
              <w:rPr>
                <w:b/>
              </w:rPr>
              <w:t>Status</w:t>
            </w:r>
          </w:p>
        </w:tc>
      </w:tr>
      <w:tr w:rsidR="000553D9" w14:paraId="3060AAC2" w14:textId="77777777">
        <w:tc>
          <w:tcPr>
            <w:tcW w:w="5345" w:type="dxa"/>
            <w:tcMar>
              <w:top w:w="100" w:type="dxa"/>
              <w:left w:w="100" w:type="dxa"/>
              <w:bottom w:w="100" w:type="dxa"/>
              <w:right w:w="100" w:type="dxa"/>
            </w:tcMar>
          </w:tcPr>
          <w:p w14:paraId="3572A308" w14:textId="77777777" w:rsidR="000553D9" w:rsidRDefault="008D6059">
            <w:pPr>
              <w:pStyle w:val="Normal1"/>
              <w:spacing w:line="240" w:lineRule="auto"/>
              <w:ind w:left="200"/>
            </w:pPr>
            <w:r>
              <w:t>Division of State Architect submission (architect, filing free, testing and inspections).</w:t>
            </w:r>
          </w:p>
        </w:tc>
        <w:tc>
          <w:tcPr>
            <w:tcW w:w="1728" w:type="dxa"/>
            <w:tcMar>
              <w:top w:w="100" w:type="dxa"/>
              <w:left w:w="100" w:type="dxa"/>
              <w:bottom w:w="100" w:type="dxa"/>
              <w:right w:w="100" w:type="dxa"/>
            </w:tcMar>
          </w:tcPr>
          <w:p w14:paraId="09E53B95" w14:textId="77777777" w:rsidR="000553D9" w:rsidRDefault="008D6059">
            <w:pPr>
              <w:pStyle w:val="Normal1"/>
              <w:spacing w:line="240" w:lineRule="auto"/>
              <w:ind w:left="200"/>
              <w:jc w:val="right"/>
            </w:pPr>
            <w:r>
              <w:t>$125,000</w:t>
            </w:r>
          </w:p>
        </w:tc>
        <w:tc>
          <w:tcPr>
            <w:tcW w:w="1816" w:type="dxa"/>
            <w:tcMar>
              <w:top w:w="100" w:type="dxa"/>
              <w:left w:w="100" w:type="dxa"/>
              <w:bottom w:w="100" w:type="dxa"/>
              <w:right w:w="100" w:type="dxa"/>
            </w:tcMar>
          </w:tcPr>
          <w:p w14:paraId="3A2B7628" w14:textId="77777777" w:rsidR="000553D9" w:rsidRDefault="008D6059">
            <w:pPr>
              <w:pStyle w:val="Normal1"/>
              <w:spacing w:line="240" w:lineRule="auto"/>
              <w:ind w:left="200"/>
            </w:pPr>
            <w:r>
              <w:t>Testing/ inspection in process</w:t>
            </w:r>
          </w:p>
        </w:tc>
      </w:tr>
      <w:tr w:rsidR="000553D9" w14:paraId="68A7050F" w14:textId="77777777">
        <w:tc>
          <w:tcPr>
            <w:tcW w:w="5345" w:type="dxa"/>
            <w:tcMar>
              <w:top w:w="100" w:type="dxa"/>
              <w:left w:w="100" w:type="dxa"/>
              <w:bottom w:w="100" w:type="dxa"/>
              <w:right w:w="100" w:type="dxa"/>
            </w:tcMar>
          </w:tcPr>
          <w:p w14:paraId="0783A03C" w14:textId="77777777" w:rsidR="000553D9" w:rsidRDefault="008D6059">
            <w:pPr>
              <w:pStyle w:val="Normal1"/>
              <w:ind w:left="200"/>
            </w:pPr>
            <w:r>
              <w:t>Server room wall partition demolition and reconfiguration.</w:t>
            </w:r>
          </w:p>
        </w:tc>
        <w:tc>
          <w:tcPr>
            <w:tcW w:w="1728" w:type="dxa"/>
            <w:tcMar>
              <w:top w:w="100" w:type="dxa"/>
              <w:left w:w="100" w:type="dxa"/>
              <w:bottom w:w="100" w:type="dxa"/>
              <w:right w:w="100" w:type="dxa"/>
            </w:tcMar>
          </w:tcPr>
          <w:p w14:paraId="5FA6C369" w14:textId="77777777" w:rsidR="000553D9" w:rsidRDefault="008D6059">
            <w:pPr>
              <w:pStyle w:val="Normal1"/>
              <w:ind w:left="200"/>
              <w:jc w:val="right"/>
            </w:pPr>
            <w:r>
              <w:t>$100,000</w:t>
            </w:r>
          </w:p>
        </w:tc>
        <w:tc>
          <w:tcPr>
            <w:tcW w:w="1816" w:type="dxa"/>
            <w:tcMar>
              <w:top w:w="100" w:type="dxa"/>
              <w:left w:w="100" w:type="dxa"/>
              <w:bottom w:w="100" w:type="dxa"/>
              <w:right w:w="100" w:type="dxa"/>
            </w:tcMar>
          </w:tcPr>
          <w:p w14:paraId="1BA37408" w14:textId="77777777" w:rsidR="000553D9" w:rsidRDefault="008D6059">
            <w:pPr>
              <w:pStyle w:val="Normal1"/>
              <w:ind w:left="200"/>
            </w:pPr>
            <w:r>
              <w:t>Completed</w:t>
            </w:r>
          </w:p>
        </w:tc>
      </w:tr>
      <w:tr w:rsidR="000553D9" w14:paraId="1C857B82" w14:textId="77777777">
        <w:tc>
          <w:tcPr>
            <w:tcW w:w="5345" w:type="dxa"/>
            <w:tcMar>
              <w:top w:w="100" w:type="dxa"/>
              <w:left w:w="100" w:type="dxa"/>
              <w:bottom w:w="100" w:type="dxa"/>
              <w:right w:w="100" w:type="dxa"/>
            </w:tcMar>
          </w:tcPr>
          <w:p w14:paraId="6A7A0C74" w14:textId="77777777" w:rsidR="000553D9" w:rsidRDefault="008D6059">
            <w:pPr>
              <w:pStyle w:val="Normal1"/>
              <w:ind w:left="200"/>
            </w:pPr>
            <w:r>
              <w:t>Overhead cable trays, racks, equipment, air grates, cabling, and rearrange server rack cabinets.</w:t>
            </w:r>
          </w:p>
        </w:tc>
        <w:tc>
          <w:tcPr>
            <w:tcW w:w="1728" w:type="dxa"/>
            <w:tcMar>
              <w:top w:w="100" w:type="dxa"/>
              <w:left w:w="100" w:type="dxa"/>
              <w:bottom w:w="100" w:type="dxa"/>
              <w:right w:w="100" w:type="dxa"/>
            </w:tcMar>
          </w:tcPr>
          <w:p w14:paraId="673CAF94" w14:textId="77777777" w:rsidR="000553D9" w:rsidRDefault="008D6059">
            <w:pPr>
              <w:pStyle w:val="Normal1"/>
              <w:ind w:left="200"/>
              <w:jc w:val="right"/>
            </w:pPr>
            <w:r>
              <w:t>$100,000</w:t>
            </w:r>
          </w:p>
        </w:tc>
        <w:tc>
          <w:tcPr>
            <w:tcW w:w="1816" w:type="dxa"/>
            <w:tcMar>
              <w:top w:w="100" w:type="dxa"/>
              <w:left w:w="100" w:type="dxa"/>
              <w:bottom w:w="100" w:type="dxa"/>
              <w:right w:w="100" w:type="dxa"/>
            </w:tcMar>
          </w:tcPr>
          <w:p w14:paraId="1E28C11F" w14:textId="77777777" w:rsidR="000553D9" w:rsidRDefault="008D6059">
            <w:pPr>
              <w:pStyle w:val="Normal1"/>
              <w:ind w:left="200"/>
            </w:pPr>
            <w:r>
              <w:t>Completed</w:t>
            </w:r>
          </w:p>
        </w:tc>
      </w:tr>
      <w:tr w:rsidR="000553D9" w14:paraId="6829407C" w14:textId="77777777">
        <w:tc>
          <w:tcPr>
            <w:tcW w:w="5345" w:type="dxa"/>
            <w:tcMar>
              <w:top w:w="100" w:type="dxa"/>
              <w:left w:w="100" w:type="dxa"/>
              <w:bottom w:w="100" w:type="dxa"/>
              <w:right w:w="100" w:type="dxa"/>
            </w:tcMar>
          </w:tcPr>
          <w:p w14:paraId="47DFFB60" w14:textId="77777777" w:rsidR="000553D9" w:rsidRDefault="008D6059">
            <w:pPr>
              <w:pStyle w:val="Normal1"/>
              <w:ind w:left="200"/>
            </w:pPr>
            <w:r>
              <w:t>Electrical panels, transfer switch, and other services.</w:t>
            </w:r>
          </w:p>
        </w:tc>
        <w:tc>
          <w:tcPr>
            <w:tcW w:w="1728" w:type="dxa"/>
            <w:tcMar>
              <w:top w:w="100" w:type="dxa"/>
              <w:left w:w="100" w:type="dxa"/>
              <w:bottom w:w="100" w:type="dxa"/>
              <w:right w:w="100" w:type="dxa"/>
            </w:tcMar>
          </w:tcPr>
          <w:p w14:paraId="76BB60D9" w14:textId="77777777" w:rsidR="000553D9" w:rsidRDefault="008D6059">
            <w:pPr>
              <w:pStyle w:val="Normal1"/>
              <w:ind w:left="200"/>
              <w:jc w:val="right"/>
            </w:pPr>
            <w:r>
              <w:t>$65,000</w:t>
            </w:r>
          </w:p>
        </w:tc>
        <w:tc>
          <w:tcPr>
            <w:tcW w:w="1816" w:type="dxa"/>
            <w:tcMar>
              <w:top w:w="100" w:type="dxa"/>
              <w:left w:w="100" w:type="dxa"/>
              <w:bottom w:w="100" w:type="dxa"/>
              <w:right w:w="100" w:type="dxa"/>
            </w:tcMar>
          </w:tcPr>
          <w:p w14:paraId="0D7F4FE8" w14:textId="77777777" w:rsidR="000553D9" w:rsidRDefault="008D6059">
            <w:pPr>
              <w:pStyle w:val="Normal1"/>
              <w:ind w:left="200"/>
            </w:pPr>
            <w:r>
              <w:t>Completed</w:t>
            </w:r>
          </w:p>
        </w:tc>
      </w:tr>
      <w:tr w:rsidR="000553D9" w14:paraId="25983E17" w14:textId="77777777">
        <w:tc>
          <w:tcPr>
            <w:tcW w:w="5345" w:type="dxa"/>
            <w:tcMar>
              <w:top w:w="100" w:type="dxa"/>
              <w:left w:w="100" w:type="dxa"/>
              <w:bottom w:w="100" w:type="dxa"/>
              <w:right w:w="100" w:type="dxa"/>
            </w:tcMar>
          </w:tcPr>
          <w:p w14:paraId="119BC0A6" w14:textId="77777777" w:rsidR="000553D9" w:rsidRDefault="008D6059">
            <w:pPr>
              <w:pStyle w:val="Normal1"/>
              <w:ind w:left="200"/>
            </w:pPr>
            <w:r>
              <w:lastRenderedPageBreak/>
              <w:t xml:space="preserve">Redundant 20-ton </w:t>
            </w:r>
            <w:proofErr w:type="spellStart"/>
            <w:r>
              <w:t>Liebert</w:t>
            </w:r>
            <w:proofErr w:type="spellEnd"/>
            <w:r>
              <w:t xml:space="preserve"> DS Precision Cooling Systems; two dual cool refrigerant-based (DX) and chilled water (CW) units connected to the pony chiller.</w:t>
            </w:r>
          </w:p>
        </w:tc>
        <w:tc>
          <w:tcPr>
            <w:tcW w:w="1728" w:type="dxa"/>
            <w:tcMar>
              <w:top w:w="100" w:type="dxa"/>
              <w:left w:w="100" w:type="dxa"/>
              <w:bottom w:w="100" w:type="dxa"/>
              <w:right w:w="100" w:type="dxa"/>
            </w:tcMar>
          </w:tcPr>
          <w:p w14:paraId="1F3A4D7D" w14:textId="77777777" w:rsidR="000553D9" w:rsidRDefault="008D6059">
            <w:pPr>
              <w:pStyle w:val="Normal1"/>
              <w:ind w:left="200"/>
              <w:jc w:val="right"/>
            </w:pPr>
            <w:r>
              <w:t>$370,000</w:t>
            </w:r>
          </w:p>
        </w:tc>
        <w:tc>
          <w:tcPr>
            <w:tcW w:w="1816" w:type="dxa"/>
            <w:tcMar>
              <w:top w:w="100" w:type="dxa"/>
              <w:left w:w="100" w:type="dxa"/>
              <w:bottom w:w="100" w:type="dxa"/>
              <w:right w:w="100" w:type="dxa"/>
            </w:tcMar>
          </w:tcPr>
          <w:p w14:paraId="1ABB7C32" w14:textId="77777777" w:rsidR="000553D9" w:rsidRDefault="008D6059">
            <w:pPr>
              <w:pStyle w:val="Normal1"/>
              <w:ind w:left="200"/>
            </w:pPr>
            <w:r>
              <w:t>Completed</w:t>
            </w:r>
          </w:p>
        </w:tc>
      </w:tr>
      <w:tr w:rsidR="000553D9" w14:paraId="20B0A9CE" w14:textId="77777777">
        <w:tc>
          <w:tcPr>
            <w:tcW w:w="5345" w:type="dxa"/>
            <w:tcMar>
              <w:top w:w="100" w:type="dxa"/>
              <w:left w:w="100" w:type="dxa"/>
              <w:bottom w:w="100" w:type="dxa"/>
              <w:right w:w="100" w:type="dxa"/>
            </w:tcMar>
          </w:tcPr>
          <w:p w14:paraId="5C92CD79" w14:textId="77777777" w:rsidR="000553D9" w:rsidRDefault="008D6059">
            <w:pPr>
              <w:pStyle w:val="Normal1"/>
              <w:ind w:left="200"/>
            </w:pPr>
            <w:r>
              <w:t>Centralized UPS, electrical raceways, and rack-mounted PDUs.</w:t>
            </w:r>
          </w:p>
        </w:tc>
        <w:tc>
          <w:tcPr>
            <w:tcW w:w="1728" w:type="dxa"/>
            <w:tcMar>
              <w:top w:w="100" w:type="dxa"/>
              <w:left w:w="100" w:type="dxa"/>
              <w:bottom w:w="100" w:type="dxa"/>
              <w:right w:w="100" w:type="dxa"/>
            </w:tcMar>
          </w:tcPr>
          <w:p w14:paraId="06E181FD" w14:textId="77777777" w:rsidR="000553D9" w:rsidRDefault="008D6059">
            <w:pPr>
              <w:pStyle w:val="Normal1"/>
              <w:ind w:left="200"/>
              <w:jc w:val="right"/>
            </w:pPr>
            <w:r>
              <w:t>$180,000</w:t>
            </w:r>
          </w:p>
        </w:tc>
        <w:tc>
          <w:tcPr>
            <w:tcW w:w="1816" w:type="dxa"/>
            <w:tcMar>
              <w:top w:w="100" w:type="dxa"/>
              <w:left w:w="100" w:type="dxa"/>
              <w:bottom w:w="100" w:type="dxa"/>
              <w:right w:w="100" w:type="dxa"/>
            </w:tcMar>
          </w:tcPr>
          <w:p w14:paraId="14447106" w14:textId="77777777" w:rsidR="000553D9" w:rsidRDefault="008D6059">
            <w:pPr>
              <w:pStyle w:val="Normal1"/>
              <w:ind w:left="200"/>
            </w:pPr>
            <w:r>
              <w:t>Completed</w:t>
            </w:r>
          </w:p>
        </w:tc>
      </w:tr>
      <w:tr w:rsidR="000553D9" w14:paraId="62FD4B5A" w14:textId="77777777">
        <w:tc>
          <w:tcPr>
            <w:tcW w:w="5345" w:type="dxa"/>
            <w:tcMar>
              <w:top w:w="100" w:type="dxa"/>
              <w:left w:w="100" w:type="dxa"/>
              <w:bottom w:w="100" w:type="dxa"/>
              <w:right w:w="100" w:type="dxa"/>
            </w:tcMar>
          </w:tcPr>
          <w:p w14:paraId="346F0746" w14:textId="77777777" w:rsidR="000553D9" w:rsidRDefault="008D6059">
            <w:pPr>
              <w:pStyle w:val="Normal1"/>
              <w:ind w:left="200"/>
            </w:pPr>
            <w:r>
              <w:t>Emergency standby generator</w:t>
            </w:r>
          </w:p>
        </w:tc>
        <w:tc>
          <w:tcPr>
            <w:tcW w:w="1728" w:type="dxa"/>
            <w:tcMar>
              <w:top w:w="100" w:type="dxa"/>
              <w:left w:w="100" w:type="dxa"/>
              <w:bottom w:w="100" w:type="dxa"/>
              <w:right w:w="100" w:type="dxa"/>
            </w:tcMar>
          </w:tcPr>
          <w:p w14:paraId="2276CE31" w14:textId="77777777" w:rsidR="000553D9" w:rsidRDefault="008D6059">
            <w:pPr>
              <w:pStyle w:val="Normal1"/>
              <w:ind w:left="200"/>
              <w:jc w:val="right"/>
            </w:pPr>
            <w:r>
              <w:t>$260,000</w:t>
            </w:r>
          </w:p>
        </w:tc>
        <w:tc>
          <w:tcPr>
            <w:tcW w:w="1816" w:type="dxa"/>
            <w:tcMar>
              <w:top w:w="100" w:type="dxa"/>
              <w:left w:w="100" w:type="dxa"/>
              <w:bottom w:w="100" w:type="dxa"/>
              <w:right w:w="100" w:type="dxa"/>
            </w:tcMar>
          </w:tcPr>
          <w:p w14:paraId="42D0E566" w14:textId="77777777" w:rsidR="000553D9" w:rsidRDefault="008D6059">
            <w:pPr>
              <w:pStyle w:val="Normal1"/>
              <w:ind w:left="200"/>
            </w:pPr>
            <w:r>
              <w:t>In Progress</w:t>
            </w:r>
          </w:p>
        </w:tc>
      </w:tr>
      <w:tr w:rsidR="000553D9" w14:paraId="51670797" w14:textId="77777777">
        <w:tc>
          <w:tcPr>
            <w:tcW w:w="5345" w:type="dxa"/>
            <w:tcMar>
              <w:top w:w="100" w:type="dxa"/>
              <w:left w:w="100" w:type="dxa"/>
              <w:bottom w:w="100" w:type="dxa"/>
              <w:right w:w="100" w:type="dxa"/>
            </w:tcMar>
          </w:tcPr>
          <w:p w14:paraId="2A40989C" w14:textId="77777777" w:rsidR="000553D9" w:rsidRDefault="008D6059">
            <w:pPr>
              <w:pStyle w:val="Normal1"/>
              <w:ind w:left="200"/>
            </w:pPr>
            <w:r>
              <w:t>Clean agent fire suppression system</w:t>
            </w:r>
          </w:p>
        </w:tc>
        <w:tc>
          <w:tcPr>
            <w:tcW w:w="1728" w:type="dxa"/>
            <w:tcMar>
              <w:top w:w="100" w:type="dxa"/>
              <w:left w:w="100" w:type="dxa"/>
              <w:bottom w:w="100" w:type="dxa"/>
              <w:right w:w="100" w:type="dxa"/>
            </w:tcMar>
          </w:tcPr>
          <w:p w14:paraId="0B2B5524" w14:textId="77777777" w:rsidR="000553D9" w:rsidRDefault="008D6059">
            <w:pPr>
              <w:pStyle w:val="Normal1"/>
              <w:ind w:left="200"/>
              <w:jc w:val="right"/>
            </w:pPr>
            <w:r>
              <w:t>$125,000</w:t>
            </w:r>
          </w:p>
        </w:tc>
        <w:tc>
          <w:tcPr>
            <w:tcW w:w="1816" w:type="dxa"/>
            <w:tcMar>
              <w:top w:w="100" w:type="dxa"/>
              <w:left w:w="100" w:type="dxa"/>
              <w:bottom w:w="100" w:type="dxa"/>
              <w:right w:w="100" w:type="dxa"/>
            </w:tcMar>
          </w:tcPr>
          <w:p w14:paraId="186E0FF6" w14:textId="77777777" w:rsidR="000553D9" w:rsidRDefault="008D6059">
            <w:pPr>
              <w:pStyle w:val="Normal1"/>
              <w:ind w:left="200"/>
            </w:pPr>
            <w:r>
              <w:t>Completed</w:t>
            </w:r>
          </w:p>
        </w:tc>
      </w:tr>
      <w:tr w:rsidR="000553D9" w14:paraId="7A674A6F" w14:textId="77777777">
        <w:tc>
          <w:tcPr>
            <w:tcW w:w="5345" w:type="dxa"/>
            <w:tcMar>
              <w:top w:w="100" w:type="dxa"/>
              <w:left w:w="100" w:type="dxa"/>
              <w:bottom w:w="100" w:type="dxa"/>
              <w:right w:w="100" w:type="dxa"/>
            </w:tcMar>
          </w:tcPr>
          <w:p w14:paraId="789B00AC" w14:textId="77777777" w:rsidR="000553D9" w:rsidRDefault="008D6059">
            <w:pPr>
              <w:pStyle w:val="Normal1"/>
              <w:spacing w:line="240" w:lineRule="auto"/>
              <w:ind w:left="200"/>
            </w:pPr>
            <w:r>
              <w:t>Construction management, bonding, insurance, etc.</w:t>
            </w:r>
          </w:p>
        </w:tc>
        <w:tc>
          <w:tcPr>
            <w:tcW w:w="1728" w:type="dxa"/>
            <w:tcMar>
              <w:top w:w="100" w:type="dxa"/>
              <w:left w:w="100" w:type="dxa"/>
              <w:bottom w:w="100" w:type="dxa"/>
              <w:right w:w="100" w:type="dxa"/>
            </w:tcMar>
          </w:tcPr>
          <w:p w14:paraId="6D75B800" w14:textId="77777777" w:rsidR="000553D9" w:rsidRDefault="008D6059">
            <w:pPr>
              <w:pStyle w:val="Normal1"/>
              <w:spacing w:line="240" w:lineRule="auto"/>
              <w:ind w:left="200"/>
              <w:jc w:val="right"/>
            </w:pPr>
            <w:r>
              <w:t>$138,000</w:t>
            </w:r>
          </w:p>
        </w:tc>
        <w:tc>
          <w:tcPr>
            <w:tcW w:w="1816" w:type="dxa"/>
            <w:tcMar>
              <w:top w:w="100" w:type="dxa"/>
              <w:left w:w="100" w:type="dxa"/>
              <w:bottom w:w="100" w:type="dxa"/>
              <w:right w:w="100" w:type="dxa"/>
            </w:tcMar>
          </w:tcPr>
          <w:p w14:paraId="5820B908" w14:textId="77777777" w:rsidR="000553D9" w:rsidRDefault="000553D9">
            <w:pPr>
              <w:pStyle w:val="Normal1"/>
              <w:spacing w:line="240" w:lineRule="auto"/>
              <w:ind w:left="200"/>
            </w:pPr>
          </w:p>
        </w:tc>
      </w:tr>
      <w:tr w:rsidR="000553D9" w14:paraId="76E33F5D" w14:textId="77777777">
        <w:tc>
          <w:tcPr>
            <w:tcW w:w="5345" w:type="dxa"/>
            <w:tcMar>
              <w:top w:w="100" w:type="dxa"/>
              <w:left w:w="100" w:type="dxa"/>
              <w:bottom w:w="100" w:type="dxa"/>
              <w:right w:w="100" w:type="dxa"/>
            </w:tcMar>
          </w:tcPr>
          <w:p w14:paraId="679F7F0E" w14:textId="77777777" w:rsidR="000553D9" w:rsidRDefault="008D6059">
            <w:pPr>
              <w:pStyle w:val="Normal1"/>
              <w:ind w:left="200"/>
            </w:pPr>
            <w:r>
              <w:t>Contingency reserve</w:t>
            </w:r>
          </w:p>
        </w:tc>
        <w:tc>
          <w:tcPr>
            <w:tcW w:w="1728" w:type="dxa"/>
            <w:tcMar>
              <w:top w:w="100" w:type="dxa"/>
              <w:left w:w="100" w:type="dxa"/>
              <w:bottom w:w="100" w:type="dxa"/>
              <w:right w:w="100" w:type="dxa"/>
            </w:tcMar>
          </w:tcPr>
          <w:p w14:paraId="6CDA2A4E" w14:textId="77777777" w:rsidR="000553D9" w:rsidRDefault="008D6059">
            <w:pPr>
              <w:pStyle w:val="Normal1"/>
              <w:ind w:left="200"/>
              <w:jc w:val="right"/>
            </w:pPr>
            <w:r>
              <w:t>$37,000</w:t>
            </w:r>
          </w:p>
        </w:tc>
        <w:tc>
          <w:tcPr>
            <w:tcW w:w="1816" w:type="dxa"/>
            <w:tcMar>
              <w:top w:w="100" w:type="dxa"/>
              <w:left w:w="100" w:type="dxa"/>
              <w:bottom w:w="100" w:type="dxa"/>
              <w:right w:w="100" w:type="dxa"/>
            </w:tcMar>
          </w:tcPr>
          <w:p w14:paraId="0895D399" w14:textId="77777777" w:rsidR="000553D9" w:rsidRDefault="008D6059">
            <w:pPr>
              <w:pStyle w:val="Normal1"/>
              <w:ind w:left="200"/>
            </w:pPr>
            <w:r>
              <w:t xml:space="preserve"> </w:t>
            </w:r>
          </w:p>
        </w:tc>
      </w:tr>
      <w:tr w:rsidR="000553D9" w14:paraId="6EEB68EB" w14:textId="77777777">
        <w:tc>
          <w:tcPr>
            <w:tcW w:w="5345" w:type="dxa"/>
            <w:tcMar>
              <w:top w:w="100" w:type="dxa"/>
              <w:left w:w="100" w:type="dxa"/>
              <w:bottom w:w="100" w:type="dxa"/>
              <w:right w:w="100" w:type="dxa"/>
            </w:tcMar>
          </w:tcPr>
          <w:p w14:paraId="0702C820" w14:textId="77777777" w:rsidR="000553D9" w:rsidRDefault="008D6059">
            <w:pPr>
              <w:pStyle w:val="Normal1"/>
              <w:ind w:left="200"/>
            </w:pPr>
            <w:r>
              <w:t>TOTAL</w:t>
            </w:r>
          </w:p>
        </w:tc>
        <w:tc>
          <w:tcPr>
            <w:tcW w:w="1728" w:type="dxa"/>
            <w:tcMar>
              <w:top w:w="100" w:type="dxa"/>
              <w:left w:w="100" w:type="dxa"/>
              <w:bottom w:w="100" w:type="dxa"/>
              <w:right w:w="100" w:type="dxa"/>
            </w:tcMar>
          </w:tcPr>
          <w:p w14:paraId="10C4387D" w14:textId="77777777" w:rsidR="000553D9" w:rsidRDefault="008D6059">
            <w:pPr>
              <w:pStyle w:val="Normal1"/>
              <w:ind w:left="200"/>
              <w:jc w:val="right"/>
            </w:pPr>
            <w:r>
              <w:t>$1,500,000</w:t>
            </w:r>
          </w:p>
        </w:tc>
        <w:tc>
          <w:tcPr>
            <w:tcW w:w="1816" w:type="dxa"/>
            <w:tcMar>
              <w:top w:w="100" w:type="dxa"/>
              <w:left w:w="100" w:type="dxa"/>
              <w:bottom w:w="100" w:type="dxa"/>
              <w:right w:w="100" w:type="dxa"/>
            </w:tcMar>
          </w:tcPr>
          <w:p w14:paraId="52B7C41D" w14:textId="77777777" w:rsidR="000553D9" w:rsidRDefault="008D6059">
            <w:pPr>
              <w:pStyle w:val="Normal1"/>
              <w:ind w:left="200"/>
            </w:pPr>
            <w:r>
              <w:t xml:space="preserve"> </w:t>
            </w:r>
          </w:p>
        </w:tc>
      </w:tr>
    </w:tbl>
    <w:p w14:paraId="5824FE26" w14:textId="77777777" w:rsidR="000553D9" w:rsidRDefault="008D6059">
      <w:pPr>
        <w:pStyle w:val="Normal1"/>
      </w:pPr>
      <w:r>
        <w:t xml:space="preserve"> </w:t>
      </w:r>
    </w:p>
    <w:p w14:paraId="1E36DE89" w14:textId="77777777" w:rsidR="000553D9" w:rsidRDefault="008D6059">
      <w:pPr>
        <w:pStyle w:val="Normal1"/>
      </w:pPr>
      <w:r>
        <w:t xml:space="preserve">In August 2012, an energy audit on this project was conducted by </w:t>
      </w:r>
      <w:proofErr w:type="spellStart"/>
      <w:r>
        <w:t>Willdan</w:t>
      </w:r>
      <w:proofErr w:type="spellEnd"/>
      <w:r>
        <w:t xml:space="preserve"> Energy Solutions [Ref. 8-3].  The audit determined that this project will save energy and costs to the College.  As a result, the Board of Trustees approved the project as an energy conservation project pursuant to Government Code Section 4217 on September 10, 2012 [Ref. 8-4].  This allowed the College to purchase the equipment without engaging in the bidding process.  On September 14, 2012, the College ordered the equipment with a long lead time: the air conditioners, Centralized Uninterruptible Power Supply, and generator. The budget was augmented by $500,000 at the November 2012 Board of Trustees meeting, based on the decision to submit the project to the Division of the State Architect and the required construction management component of the project. The construction is expected to be completed by the end of the winter 2013 session.</w:t>
      </w:r>
    </w:p>
    <w:p w14:paraId="3A03E25F" w14:textId="77777777" w:rsidR="000553D9" w:rsidRDefault="000553D9">
      <w:pPr>
        <w:pStyle w:val="Normal1"/>
      </w:pPr>
    </w:p>
    <w:p w14:paraId="42101D9E" w14:textId="77777777" w:rsidR="000553D9" w:rsidRDefault="000553D9">
      <w:pPr>
        <w:pStyle w:val="Normal1"/>
      </w:pPr>
    </w:p>
    <w:p w14:paraId="7F4D1EB2" w14:textId="77777777" w:rsidR="000553D9" w:rsidRDefault="000553D9">
      <w:pPr>
        <w:pStyle w:val="Normal1"/>
      </w:pPr>
    </w:p>
    <w:p w14:paraId="4C9F8CDF" w14:textId="77777777" w:rsidR="000553D9" w:rsidRDefault="008D6059">
      <w:pPr>
        <w:pStyle w:val="Normal1"/>
      </w:pPr>
      <w:r>
        <w:br w:type="page"/>
      </w:r>
    </w:p>
    <w:p w14:paraId="1FEC2ABE" w14:textId="77777777" w:rsidR="000553D9" w:rsidRDefault="000553D9">
      <w:pPr>
        <w:pStyle w:val="Heading4"/>
        <w:jc w:val="left"/>
      </w:pPr>
      <w:bookmarkStart w:id="15" w:name="h.g56a455eb1au" w:colFirst="0" w:colLast="0"/>
      <w:bookmarkEnd w:id="15"/>
    </w:p>
    <w:p w14:paraId="42308BCC" w14:textId="77777777" w:rsidR="000553D9" w:rsidRDefault="008D6059">
      <w:pPr>
        <w:pStyle w:val="Heading4"/>
      </w:pPr>
      <w:bookmarkStart w:id="16" w:name="h.j5xpfsdqffat" w:colFirst="0" w:colLast="0"/>
      <w:bookmarkEnd w:id="16"/>
      <w:r>
        <w:t>Recommendation 9</w:t>
      </w:r>
    </w:p>
    <w:p w14:paraId="5B6FE39B" w14:textId="77777777" w:rsidR="000553D9" w:rsidRDefault="008D6059">
      <w:pPr>
        <w:pStyle w:val="Normal1"/>
      </w:pPr>
      <w:r>
        <w:tab/>
      </w:r>
      <w:r>
        <w:tab/>
        <w:t xml:space="preserve"> </w:t>
      </w:r>
      <w:r>
        <w:tab/>
        <w:t xml:space="preserve"> </w:t>
      </w:r>
      <w:r>
        <w:tab/>
        <w:t xml:space="preserve"> </w:t>
      </w:r>
      <w:r>
        <w:tab/>
      </w:r>
      <w:r>
        <w:tab/>
      </w:r>
    </w:p>
    <w:p w14:paraId="6E7B8A9F" w14:textId="77777777" w:rsidR="000553D9" w:rsidRDefault="008D6059">
      <w:pPr>
        <w:pStyle w:val="Normal1"/>
      </w:pPr>
      <w:r>
        <w:rPr>
          <w:i/>
        </w:rPr>
        <w:t xml:space="preserve">Recommendation 9: The team recommends that the college develop and implement a plan for funding its long-term employee liability under Government Accounting Standards Board (GASB) 45 (Standard IIID.1.c). </w:t>
      </w:r>
    </w:p>
    <w:p w14:paraId="1481E363" w14:textId="77777777" w:rsidR="000553D9" w:rsidRDefault="000553D9">
      <w:pPr>
        <w:pStyle w:val="Normal1"/>
      </w:pPr>
    </w:p>
    <w:p w14:paraId="55FCF68D" w14:textId="77777777" w:rsidR="000553D9" w:rsidRDefault="008D6059">
      <w:pPr>
        <w:pStyle w:val="Normal1"/>
      </w:pPr>
      <w:r>
        <w:rPr>
          <w:b/>
        </w:rPr>
        <w:t>Description of Institutional Response to Recommendation</w:t>
      </w:r>
    </w:p>
    <w:p w14:paraId="648B51CB" w14:textId="77777777" w:rsidR="000553D9" w:rsidRDefault="000553D9">
      <w:pPr>
        <w:pStyle w:val="Normal1"/>
      </w:pPr>
    </w:p>
    <w:p w14:paraId="4FCDB907" w14:textId="77777777" w:rsidR="000553D9" w:rsidRDefault="008D6059">
      <w:pPr>
        <w:pStyle w:val="Normal1"/>
      </w:pPr>
      <w:r>
        <w:t>As directed by the recommendation, the College developed and implemented a plan for funding its long-term GASB 45 liability. The plan was developed in the fall 2010 semester and implemented began in 2011-2012.</w:t>
      </w:r>
    </w:p>
    <w:p w14:paraId="22402B0B" w14:textId="77777777" w:rsidR="000553D9" w:rsidRDefault="000553D9">
      <w:pPr>
        <w:pStyle w:val="Normal1"/>
      </w:pPr>
    </w:p>
    <w:p w14:paraId="12C0153F" w14:textId="77777777" w:rsidR="000553D9" w:rsidRDefault="008D6059">
      <w:pPr>
        <w:pStyle w:val="Normal1"/>
      </w:pPr>
      <w:r>
        <w:rPr>
          <w:b/>
        </w:rPr>
        <w:t>Demonstration that Deficiencies Have Been Resolved</w:t>
      </w:r>
    </w:p>
    <w:p w14:paraId="6DFBD9F7" w14:textId="77777777" w:rsidR="000553D9" w:rsidRDefault="000553D9">
      <w:pPr>
        <w:pStyle w:val="Normal1"/>
      </w:pPr>
    </w:p>
    <w:p w14:paraId="71E5CEE4" w14:textId="77777777" w:rsidR="000553D9" w:rsidRDefault="008D6059">
      <w:pPr>
        <w:pStyle w:val="Normal1"/>
      </w:pPr>
      <w:r>
        <w:t>At its October 14, 2010 Budget Committee meeting, the following plan was approved for the funding of GASB 45.</w:t>
      </w:r>
    </w:p>
    <w:p w14:paraId="183EEBE7" w14:textId="77777777" w:rsidR="000553D9" w:rsidRDefault="008D6059">
      <w:pPr>
        <w:pStyle w:val="Normal1"/>
      </w:pPr>
      <w:r>
        <w:t xml:space="preserve"> </w:t>
      </w:r>
    </w:p>
    <w:p w14:paraId="40ECC620" w14:textId="77777777" w:rsidR="000553D9" w:rsidRDefault="008D6059">
      <w:pPr>
        <w:pStyle w:val="Normal1"/>
        <w:numPr>
          <w:ilvl w:val="0"/>
          <w:numId w:val="6"/>
        </w:numPr>
        <w:ind w:hanging="359"/>
      </w:pPr>
      <w:r>
        <w:t>A retirement benefit account shall be established for all new College employees, including categorical programs and grants, calculated at 2% of annual salary. This account shall be budgeted and expensed based on a 2% calculation of salary for each subsequent year or $50,000 whichever is greater.</w:t>
      </w:r>
    </w:p>
    <w:p w14:paraId="56797EDC" w14:textId="77777777" w:rsidR="000553D9" w:rsidRDefault="008D6059">
      <w:pPr>
        <w:pStyle w:val="Normal1"/>
        <w:numPr>
          <w:ilvl w:val="0"/>
          <w:numId w:val="6"/>
        </w:numPr>
        <w:ind w:hanging="359"/>
      </w:pPr>
      <w:r>
        <w:t>All new categorical programs and grants shall have benefits calculated to include the 2% of annual salary.</w:t>
      </w:r>
    </w:p>
    <w:p w14:paraId="0E049178" w14:textId="77777777" w:rsidR="000553D9" w:rsidRDefault="008D6059">
      <w:pPr>
        <w:pStyle w:val="Normal1"/>
        <w:numPr>
          <w:ilvl w:val="0"/>
          <w:numId w:val="6"/>
        </w:numPr>
        <w:ind w:hanging="359"/>
      </w:pPr>
      <w:r>
        <w:t>50% of all mandated cost reimbursement funds received (excluding Health Center reimbursements) shall be set aside towards funding the existing liability for current employees.</w:t>
      </w:r>
    </w:p>
    <w:p w14:paraId="604D7060" w14:textId="77777777" w:rsidR="000553D9" w:rsidRDefault="008D6059">
      <w:pPr>
        <w:pStyle w:val="Normal1"/>
        <w:numPr>
          <w:ilvl w:val="0"/>
          <w:numId w:val="6"/>
        </w:numPr>
        <w:ind w:hanging="359"/>
      </w:pPr>
      <w:r>
        <w:t>Unrestricted Ending balances in excess of 6%, but not more than $200,000, shall be set aside towards funding the existing liability for current employees.</w:t>
      </w:r>
    </w:p>
    <w:p w14:paraId="15DCED2B" w14:textId="77777777" w:rsidR="000553D9" w:rsidRDefault="008D6059">
      <w:pPr>
        <w:pStyle w:val="Normal1"/>
        <w:numPr>
          <w:ilvl w:val="0"/>
          <w:numId w:val="6"/>
        </w:numPr>
        <w:ind w:hanging="359"/>
      </w:pPr>
      <w:r>
        <w:t>Funds shall be held by the District for five years at which time the decision to deposit these funds in an irrevocable trust will be revisited.</w:t>
      </w:r>
    </w:p>
    <w:p w14:paraId="57833960" w14:textId="77777777" w:rsidR="000553D9" w:rsidRDefault="008D6059">
      <w:pPr>
        <w:pStyle w:val="Normal1"/>
      </w:pPr>
      <w:r>
        <w:t xml:space="preserve"> </w:t>
      </w:r>
    </w:p>
    <w:p w14:paraId="603CFEE6" w14:textId="4A4A65F7" w:rsidR="000553D9" w:rsidRDefault="008D6059">
      <w:pPr>
        <w:pStyle w:val="Normal1"/>
      </w:pPr>
      <w:r>
        <w:t xml:space="preserve">During 2010-11, the College began funding its GASB 45 liability. Item numbers 3, 4, and 5 of the above plan were implemented and $395,397 was redirected and set aside for GASB 45. </w:t>
      </w:r>
    </w:p>
    <w:p w14:paraId="1F0BB465" w14:textId="77777777" w:rsidR="000553D9" w:rsidRDefault="008D6059">
      <w:pPr>
        <w:pStyle w:val="Normal1"/>
      </w:pPr>
      <w:r>
        <w:t xml:space="preserve"> </w:t>
      </w:r>
    </w:p>
    <w:p w14:paraId="53AB609D" w14:textId="527CD95D" w:rsidR="009E746D" w:rsidRDefault="008D6059" w:rsidP="007C446E">
      <w:pPr>
        <w:pStyle w:val="Normal1"/>
        <w:sectPr w:rsidR="009E746D">
          <w:footerReference w:type="default" r:id="rId12"/>
          <w:pgSz w:w="12240" w:h="15840"/>
          <w:pgMar w:top="1440" w:right="1800" w:bottom="1440" w:left="1800" w:header="720" w:footer="720" w:gutter="0"/>
          <w:cols w:space="720"/>
        </w:sectPr>
      </w:pPr>
      <w:r>
        <w:t xml:space="preserve">In fiscal year 2011-12, the entire plan was implemented.  An additional $285,145 was set aside for GASB 45.  The College has made significant progress in addressing its GASB 45 liability.  Even during a challenging budget year with substantial budget cuts, the College has set aside $680,542 for the funding of the GASB 45 liability in the last two years </w:t>
      </w:r>
      <w:r w:rsidR="004E089F">
        <w:t xml:space="preserve">[Ref. 9-1]. </w:t>
      </w:r>
      <w:r>
        <w:t xml:space="preserve"> The College will now transition into fully funding its liability as new employees are hired.</w:t>
      </w:r>
      <w:bookmarkStart w:id="17" w:name="h.wbjzq6o2vfdn" w:colFirst="0" w:colLast="0"/>
      <w:bookmarkStart w:id="18" w:name="h.h4w5ewckfvs6" w:colFirst="0" w:colLast="0"/>
      <w:bookmarkStart w:id="19" w:name="h.vltw47bjn0nf" w:colFirst="0" w:colLast="0"/>
      <w:bookmarkEnd w:id="17"/>
      <w:bookmarkEnd w:id="18"/>
      <w:bookmarkEnd w:id="19"/>
    </w:p>
    <w:p w14:paraId="507D1A36" w14:textId="53287F60" w:rsidR="000553D9" w:rsidRDefault="008D6059">
      <w:pPr>
        <w:pStyle w:val="Heading3"/>
      </w:pPr>
      <w:r>
        <w:lastRenderedPageBreak/>
        <w:t>Substantive Change Reporting Update</w:t>
      </w:r>
    </w:p>
    <w:p w14:paraId="6A636AF2" w14:textId="77777777" w:rsidR="000553D9" w:rsidRDefault="008D6059">
      <w:pPr>
        <w:pStyle w:val="Heading3"/>
      </w:pPr>
      <w:bookmarkStart w:id="20" w:name="h.uy3cs781lbp9" w:colFirst="0" w:colLast="0"/>
      <w:bookmarkEnd w:id="20"/>
      <w:r>
        <w:t xml:space="preserve"> </w:t>
      </w:r>
    </w:p>
    <w:p w14:paraId="030AC43F" w14:textId="77777777" w:rsidR="000553D9" w:rsidRDefault="008D6059">
      <w:pPr>
        <w:pStyle w:val="Normal1"/>
      </w:pPr>
      <w:r>
        <w:t>The report for the Los Angeles County Assessor’s program was approved pending additional information regarding library services, tutoring and the implementation of Student Learning Outcomes Assessment.</w:t>
      </w:r>
    </w:p>
    <w:p w14:paraId="4F1761CE" w14:textId="77777777" w:rsidR="000553D9" w:rsidRDefault="000553D9">
      <w:pPr>
        <w:pStyle w:val="Normal1"/>
      </w:pPr>
    </w:p>
    <w:p w14:paraId="4F0FE92A" w14:textId="77777777" w:rsidR="000553D9" w:rsidRDefault="008D6059">
      <w:pPr>
        <w:pStyle w:val="Normal1"/>
      </w:pPr>
      <w:r>
        <w:rPr>
          <w:i/>
        </w:rPr>
        <w:t>This report will be resubmitted prior to May 9, 2013 Substantive Change meeting.</w:t>
      </w:r>
    </w:p>
    <w:p w14:paraId="3070CC1F" w14:textId="77777777" w:rsidR="000553D9" w:rsidRDefault="008D6059">
      <w:pPr>
        <w:pStyle w:val="Normal1"/>
      </w:pPr>
      <w:r>
        <w:t xml:space="preserve"> </w:t>
      </w:r>
    </w:p>
    <w:p w14:paraId="72538F42" w14:textId="77777777" w:rsidR="000553D9" w:rsidRDefault="008D6059">
      <w:pPr>
        <w:pStyle w:val="Normal1"/>
      </w:pPr>
      <w:r>
        <w:t xml:space="preserve">The report for the Transportation Security Administration (TSA) program was denied. It was requested that the proposal be resubmitted when it is a degree or certificate program and all internal and external approvals are evident. </w:t>
      </w:r>
    </w:p>
    <w:p w14:paraId="0AABDA8E" w14:textId="77777777" w:rsidR="000553D9" w:rsidRDefault="000553D9">
      <w:pPr>
        <w:pStyle w:val="Normal1"/>
      </w:pPr>
    </w:p>
    <w:p w14:paraId="7DEC2B8F" w14:textId="77777777" w:rsidR="000553D9" w:rsidRDefault="008D6059">
      <w:pPr>
        <w:pStyle w:val="Normal1"/>
      </w:pPr>
      <w:r>
        <w:rPr>
          <w:i/>
        </w:rPr>
        <w:t>It is not the TSA’s intent to make this course of study which consists of three Administration of Justice classes into a degree or certificate program.</w:t>
      </w:r>
      <w:r>
        <w:t xml:space="preserve"> </w:t>
      </w:r>
      <w:r>
        <w:rPr>
          <w:i/>
        </w:rPr>
        <w:t>This report will not be resubmitted as this program is not considered a substantive change.</w:t>
      </w:r>
    </w:p>
    <w:p w14:paraId="68501312" w14:textId="77777777" w:rsidR="000553D9" w:rsidRDefault="000553D9">
      <w:pPr>
        <w:pStyle w:val="Heading3"/>
      </w:pPr>
      <w:bookmarkStart w:id="21" w:name="h.gdz0tyeongyo" w:colFirst="0" w:colLast="0"/>
      <w:bookmarkEnd w:id="21"/>
    </w:p>
    <w:p w14:paraId="62F878C5" w14:textId="77777777" w:rsidR="000553D9" w:rsidRDefault="008D6059">
      <w:pPr>
        <w:pStyle w:val="Normal1"/>
      </w:pPr>
      <w:r>
        <w:br w:type="page"/>
      </w:r>
    </w:p>
    <w:p w14:paraId="76428929" w14:textId="77777777" w:rsidR="000553D9" w:rsidRDefault="008D6059">
      <w:pPr>
        <w:pStyle w:val="Heading3"/>
      </w:pPr>
      <w:bookmarkStart w:id="22" w:name="h.ybohoxnsywy7" w:colFirst="0" w:colLast="0"/>
      <w:bookmarkStart w:id="23" w:name="h.fj6olkg9phpw" w:colFirst="0" w:colLast="0"/>
      <w:bookmarkEnd w:id="22"/>
      <w:bookmarkEnd w:id="23"/>
      <w:r>
        <w:lastRenderedPageBreak/>
        <w:t>Appendix: Evidence</w:t>
      </w:r>
    </w:p>
    <w:p w14:paraId="7194D32B" w14:textId="77777777" w:rsidR="000553D9" w:rsidRDefault="000553D9">
      <w:pPr>
        <w:pStyle w:val="Normal1"/>
      </w:pPr>
    </w:p>
    <w:p w14:paraId="7575FA66" w14:textId="77777777" w:rsidR="000553D9" w:rsidRDefault="008D6059">
      <w:pPr>
        <w:pStyle w:val="Normal1"/>
      </w:pPr>
      <w:r>
        <w:rPr>
          <w:b/>
          <w:sz w:val="20"/>
        </w:rPr>
        <w:t>Recommendation 1</w:t>
      </w:r>
    </w:p>
    <w:p w14:paraId="4A141CE8" w14:textId="77777777" w:rsidR="000553D9" w:rsidRDefault="000553D9">
      <w:pPr>
        <w:pStyle w:val="Normal1"/>
      </w:pPr>
    </w:p>
    <w:p w14:paraId="00A5C1E2" w14:textId="77777777" w:rsidR="000553D9" w:rsidRDefault="008D6059">
      <w:pPr>
        <w:pStyle w:val="Normal1"/>
        <w:numPr>
          <w:ilvl w:val="0"/>
          <w:numId w:val="11"/>
        </w:numPr>
        <w:ind w:hanging="359"/>
      </w:pPr>
      <w:r>
        <w:rPr>
          <w:sz w:val="20"/>
        </w:rPr>
        <w:t>Ref. 1-1: Planning Handbook 2012-2013 (</w:t>
      </w:r>
      <w:hyperlink r:id="rId13">
        <w:r>
          <w:rPr>
            <w:color w:val="1155CC"/>
            <w:sz w:val="20"/>
            <w:u w:val="single"/>
          </w:rPr>
          <w:t>http://www.glendale.edu/Modules/ShowDocument.aspx?documentid=16769</w:t>
        </w:r>
      </w:hyperlink>
      <w:r>
        <w:rPr>
          <w:sz w:val="20"/>
        </w:rPr>
        <w:t>)</w:t>
      </w:r>
    </w:p>
    <w:p w14:paraId="720BA728" w14:textId="77777777" w:rsidR="000553D9" w:rsidRDefault="008D6059">
      <w:pPr>
        <w:pStyle w:val="Normal1"/>
        <w:numPr>
          <w:ilvl w:val="0"/>
          <w:numId w:val="11"/>
        </w:numPr>
        <w:ind w:hanging="359"/>
      </w:pPr>
      <w:r>
        <w:rPr>
          <w:sz w:val="20"/>
        </w:rPr>
        <w:t>Ref. 1-2: Diagram of reorganized comprehensive plan (</w:t>
      </w:r>
      <w:hyperlink r:id="rId14">
        <w:r>
          <w:rPr>
            <w:color w:val="1155CC"/>
            <w:sz w:val="20"/>
            <w:u w:val="single"/>
          </w:rPr>
          <w:t>http://www.glendale.edu/Modules/ShowDocument.aspx?documentid=16929</w:t>
        </w:r>
      </w:hyperlink>
      <w:r>
        <w:rPr>
          <w:sz w:val="20"/>
        </w:rPr>
        <w:t>)</w:t>
      </w:r>
    </w:p>
    <w:p w14:paraId="4418A23E" w14:textId="22AD50CD" w:rsidR="000553D9" w:rsidRDefault="008D6059">
      <w:pPr>
        <w:pStyle w:val="Normal1"/>
        <w:numPr>
          <w:ilvl w:val="0"/>
          <w:numId w:val="11"/>
        </w:numPr>
        <w:ind w:hanging="359"/>
      </w:pPr>
      <w:r>
        <w:rPr>
          <w:sz w:val="20"/>
        </w:rPr>
        <w:t>Ref. 1-3: Minutes of Institutional Planning Coordination Committee (IPCC) meetings discussing plan reorganization (March 26, 2012 and April 30, 2012 IPCC agendas, minutes, and supporting documents</w:t>
      </w:r>
      <w:r w:rsidR="003758FA">
        <w:rPr>
          <w:sz w:val="20"/>
        </w:rPr>
        <w:t>)</w:t>
      </w:r>
      <w:r>
        <w:rPr>
          <w:sz w:val="20"/>
        </w:rPr>
        <w:t xml:space="preserve">: </w:t>
      </w:r>
      <w:hyperlink r:id="rId15">
        <w:r>
          <w:rPr>
            <w:color w:val="1155CC"/>
            <w:sz w:val="20"/>
            <w:u w:val="single"/>
          </w:rPr>
          <w:t>http://www.glendale.edu/index.aspx?page=4487</w:t>
        </w:r>
      </w:hyperlink>
      <w:r>
        <w:rPr>
          <w:sz w:val="20"/>
        </w:rPr>
        <w:t>)</w:t>
      </w:r>
    </w:p>
    <w:p w14:paraId="0014FB85" w14:textId="77777777" w:rsidR="000553D9" w:rsidRDefault="008D6059">
      <w:pPr>
        <w:pStyle w:val="Normal1"/>
        <w:numPr>
          <w:ilvl w:val="0"/>
          <w:numId w:val="11"/>
        </w:numPr>
        <w:ind w:hanging="359"/>
      </w:pPr>
      <w:r>
        <w:rPr>
          <w:sz w:val="20"/>
        </w:rPr>
        <w:t>Ref. 1-4: Assessment form for evaluating planning (</w:t>
      </w:r>
      <w:hyperlink r:id="rId16">
        <w:r>
          <w:rPr>
            <w:color w:val="1155CC"/>
            <w:sz w:val="20"/>
            <w:u w:val="single"/>
          </w:rPr>
          <w:t>http://www.glendale.edu/Modules/ShowDocument.aspx?documentid=16388</w:t>
        </w:r>
      </w:hyperlink>
      <w:r>
        <w:rPr>
          <w:sz w:val="20"/>
        </w:rPr>
        <w:t>)</w:t>
      </w:r>
    </w:p>
    <w:p w14:paraId="4001CC5F" w14:textId="77777777" w:rsidR="000553D9" w:rsidRDefault="008D6059">
      <w:pPr>
        <w:pStyle w:val="Normal1"/>
        <w:numPr>
          <w:ilvl w:val="0"/>
          <w:numId w:val="11"/>
        </w:numPr>
        <w:ind w:hanging="359"/>
      </w:pPr>
      <w:r>
        <w:rPr>
          <w:sz w:val="20"/>
        </w:rPr>
        <w:t>Ref. 1-5: Assessment form for evaluating program review (</w:t>
      </w:r>
      <w:hyperlink r:id="rId17">
        <w:r>
          <w:rPr>
            <w:color w:val="1155CC"/>
            <w:sz w:val="20"/>
            <w:u w:val="single"/>
          </w:rPr>
          <w:t>http://www.glendale.edu/Modules/ShowDocument.aspx?documentid=16387</w:t>
        </w:r>
      </w:hyperlink>
      <w:r>
        <w:rPr>
          <w:sz w:val="20"/>
        </w:rPr>
        <w:t>)</w:t>
      </w:r>
    </w:p>
    <w:p w14:paraId="200A350D" w14:textId="77777777" w:rsidR="000553D9" w:rsidRDefault="008D6059">
      <w:pPr>
        <w:pStyle w:val="Normal1"/>
        <w:numPr>
          <w:ilvl w:val="0"/>
          <w:numId w:val="11"/>
        </w:numPr>
        <w:ind w:hanging="359"/>
      </w:pPr>
      <w:r>
        <w:rPr>
          <w:sz w:val="20"/>
        </w:rPr>
        <w:t>Ref. 1-6: Assessment form for evaluating resource allocation (</w:t>
      </w:r>
      <w:hyperlink r:id="rId18">
        <w:r>
          <w:rPr>
            <w:color w:val="1155CC"/>
            <w:sz w:val="20"/>
            <w:u w:val="single"/>
          </w:rPr>
          <w:t>http://www.glendale.edu/Modules/ShowDocument.aspx?documentid=16389</w:t>
        </w:r>
      </w:hyperlink>
      <w:r>
        <w:rPr>
          <w:sz w:val="20"/>
        </w:rPr>
        <w:t>)</w:t>
      </w:r>
    </w:p>
    <w:p w14:paraId="42A20159" w14:textId="77777777" w:rsidR="000553D9" w:rsidRDefault="008D6059">
      <w:pPr>
        <w:pStyle w:val="Normal1"/>
        <w:numPr>
          <w:ilvl w:val="0"/>
          <w:numId w:val="11"/>
        </w:numPr>
        <w:ind w:hanging="359"/>
      </w:pPr>
      <w:r>
        <w:rPr>
          <w:sz w:val="20"/>
        </w:rPr>
        <w:t>Ref. 1-7: Annual Report Evaluating Planning, Program Review, and Resource Allocation 2011-2012 (</w:t>
      </w:r>
      <w:hyperlink r:id="rId19">
        <w:r>
          <w:rPr>
            <w:color w:val="1155CC"/>
            <w:sz w:val="20"/>
            <w:u w:val="single"/>
          </w:rPr>
          <w:t>http://www.glendale.edu/Modules/ShowDocument.aspx?documentid=16925</w:t>
        </w:r>
      </w:hyperlink>
      <w:r>
        <w:rPr>
          <w:sz w:val="20"/>
        </w:rPr>
        <w:t>)</w:t>
      </w:r>
    </w:p>
    <w:p w14:paraId="5C1A9410" w14:textId="041CEC71" w:rsidR="000553D9" w:rsidRDefault="008D6059">
      <w:pPr>
        <w:pStyle w:val="Normal1"/>
        <w:numPr>
          <w:ilvl w:val="0"/>
          <w:numId w:val="11"/>
        </w:numPr>
        <w:ind w:hanging="359"/>
      </w:pPr>
      <w:r>
        <w:rPr>
          <w:sz w:val="20"/>
        </w:rPr>
        <w:t xml:space="preserve">Ref. 1-8: Team A presentation </w:t>
      </w:r>
      <w:r w:rsidR="009910B8">
        <w:rPr>
          <w:sz w:val="20"/>
        </w:rPr>
        <w:t xml:space="preserve">showing </w:t>
      </w:r>
      <w:r>
        <w:rPr>
          <w:sz w:val="20"/>
        </w:rPr>
        <w:t>examples of assessment leading to improvement from 2010-2011</w:t>
      </w:r>
      <w:r w:rsidR="003758FA">
        <w:rPr>
          <w:sz w:val="20"/>
        </w:rPr>
        <w:t xml:space="preserve"> </w:t>
      </w:r>
      <w:r>
        <w:rPr>
          <w:sz w:val="20"/>
        </w:rPr>
        <w:t>program review cycle (November 18, 2011 Team A agenda and supporting documents</w:t>
      </w:r>
      <w:r w:rsidR="003758FA">
        <w:rPr>
          <w:sz w:val="20"/>
        </w:rPr>
        <w:t>)(</w:t>
      </w:r>
      <w:r>
        <w:rPr>
          <w:sz w:val="20"/>
        </w:rPr>
        <w:t xml:space="preserve"> </w:t>
      </w:r>
      <w:hyperlink r:id="rId20">
        <w:r>
          <w:rPr>
            <w:color w:val="1155CC"/>
            <w:sz w:val="20"/>
            <w:u w:val="single"/>
          </w:rPr>
          <w:t>http://www.glendale.edu/index.aspx?page=4485</w:t>
        </w:r>
      </w:hyperlink>
      <w:r>
        <w:rPr>
          <w:sz w:val="20"/>
        </w:rPr>
        <w:t>)</w:t>
      </w:r>
    </w:p>
    <w:p w14:paraId="02AF16C3" w14:textId="2C96E181" w:rsidR="000553D9" w:rsidRDefault="008D6059">
      <w:pPr>
        <w:pStyle w:val="Normal1"/>
        <w:numPr>
          <w:ilvl w:val="0"/>
          <w:numId w:val="11"/>
        </w:numPr>
        <w:ind w:hanging="359"/>
      </w:pPr>
      <w:r>
        <w:rPr>
          <w:sz w:val="20"/>
        </w:rPr>
        <w:t>Ref. 1-9: Team A presentation of examples of assessment leading to improvement from 2011-2012 program review cycle (October 12, 2012 Team A minutes</w:t>
      </w:r>
      <w:r w:rsidR="003758FA">
        <w:rPr>
          <w:sz w:val="20"/>
        </w:rPr>
        <w:t>)</w:t>
      </w:r>
      <w:r>
        <w:rPr>
          <w:sz w:val="20"/>
        </w:rPr>
        <w:t xml:space="preserve">: </w:t>
      </w:r>
      <w:r w:rsidR="003758FA">
        <w:rPr>
          <w:sz w:val="20"/>
        </w:rPr>
        <w:t>(</w:t>
      </w:r>
      <w:hyperlink r:id="rId21">
        <w:r>
          <w:rPr>
            <w:color w:val="1155CC"/>
            <w:sz w:val="20"/>
            <w:u w:val="single"/>
          </w:rPr>
          <w:t>http://www.glendale.edu/index.aspx?page=4485</w:t>
        </w:r>
      </w:hyperlink>
      <w:r>
        <w:rPr>
          <w:sz w:val="20"/>
        </w:rPr>
        <w:t>)</w:t>
      </w:r>
    </w:p>
    <w:p w14:paraId="1208EE5D" w14:textId="30D454CA" w:rsidR="000553D9" w:rsidRDefault="008D6059">
      <w:pPr>
        <w:pStyle w:val="Normal1"/>
        <w:numPr>
          <w:ilvl w:val="0"/>
          <w:numId w:val="11"/>
        </w:numPr>
        <w:ind w:hanging="359"/>
      </w:pPr>
      <w:r>
        <w:rPr>
          <w:sz w:val="20"/>
        </w:rPr>
        <w:t xml:space="preserve">Ref. 1-10: </w:t>
      </w:r>
      <w:r w:rsidR="009910B8">
        <w:rPr>
          <w:sz w:val="20"/>
        </w:rPr>
        <w:t xml:space="preserve">Document templates </w:t>
      </w:r>
      <w:r>
        <w:rPr>
          <w:sz w:val="20"/>
        </w:rPr>
        <w:t>for annual program review (</w:t>
      </w:r>
      <w:hyperlink r:id="rId22">
        <w:r>
          <w:rPr>
            <w:color w:val="1155CC"/>
            <w:sz w:val="20"/>
            <w:u w:val="single"/>
          </w:rPr>
          <w:t>http://www.glendale.edu/index.aspx?page=5686&amp;parent=15971</w:t>
        </w:r>
      </w:hyperlink>
      <w:r>
        <w:rPr>
          <w:sz w:val="20"/>
        </w:rPr>
        <w:t>)</w:t>
      </w:r>
    </w:p>
    <w:p w14:paraId="7BAD301D" w14:textId="77777777" w:rsidR="000553D9" w:rsidRDefault="008D6059">
      <w:pPr>
        <w:pStyle w:val="Normal1"/>
        <w:numPr>
          <w:ilvl w:val="0"/>
          <w:numId w:val="11"/>
        </w:numPr>
        <w:ind w:hanging="359"/>
      </w:pPr>
      <w:r>
        <w:rPr>
          <w:sz w:val="20"/>
        </w:rPr>
        <w:t>Ref. 1-11: Annual Report Evaluating Planning, Program Review, and Resource Allocation 2010-2011 (</w:t>
      </w:r>
      <w:hyperlink r:id="rId23">
        <w:r>
          <w:rPr>
            <w:color w:val="1155CC"/>
            <w:sz w:val="20"/>
            <w:u w:val="single"/>
          </w:rPr>
          <w:t>http://www.glendale.edu/Modules/ShowDocument.aspx?documentid=12169</w:t>
        </w:r>
      </w:hyperlink>
      <w:r>
        <w:rPr>
          <w:sz w:val="20"/>
        </w:rPr>
        <w:t>)</w:t>
      </w:r>
    </w:p>
    <w:p w14:paraId="3E1BC092" w14:textId="15649F09" w:rsidR="000553D9" w:rsidRDefault="008D6059">
      <w:pPr>
        <w:pStyle w:val="Normal1"/>
        <w:numPr>
          <w:ilvl w:val="0"/>
          <w:numId w:val="11"/>
        </w:numPr>
        <w:ind w:hanging="359"/>
      </w:pPr>
      <w:r>
        <w:rPr>
          <w:sz w:val="20"/>
        </w:rPr>
        <w:t>Ref. 1-12: Campus Profile 2012 (college fact</w:t>
      </w:r>
      <w:r w:rsidR="00403323">
        <w:rPr>
          <w:sz w:val="20"/>
        </w:rPr>
        <w:t xml:space="preserve"> </w:t>
      </w:r>
      <w:r>
        <w:rPr>
          <w:sz w:val="20"/>
        </w:rPr>
        <w:t>book) (</w:t>
      </w:r>
      <w:hyperlink r:id="rId24">
        <w:r>
          <w:rPr>
            <w:color w:val="1155CC"/>
            <w:sz w:val="20"/>
            <w:u w:val="single"/>
          </w:rPr>
          <w:t>http://www.glendale.edu/Modules/ShowDocument.aspx?documentid=15885</w:t>
        </w:r>
      </w:hyperlink>
      <w:r>
        <w:rPr>
          <w:sz w:val="20"/>
        </w:rPr>
        <w:t>)</w:t>
      </w:r>
    </w:p>
    <w:p w14:paraId="49B77A94" w14:textId="77777777" w:rsidR="000553D9" w:rsidRDefault="008D6059">
      <w:pPr>
        <w:pStyle w:val="Normal1"/>
        <w:numPr>
          <w:ilvl w:val="0"/>
          <w:numId w:val="11"/>
        </w:numPr>
        <w:ind w:hanging="359"/>
      </w:pPr>
      <w:r>
        <w:rPr>
          <w:sz w:val="20"/>
        </w:rPr>
        <w:t>Ref. 1-13: Student Views 2012 (results of the annual student survey) (</w:t>
      </w:r>
      <w:hyperlink r:id="rId25">
        <w:r>
          <w:rPr>
            <w:color w:val="1155CC"/>
            <w:sz w:val="20"/>
            <w:u w:val="single"/>
          </w:rPr>
          <w:t>http://www.glendale.edu/Modules/ShowDocument.aspx?documentid=14978</w:t>
        </w:r>
      </w:hyperlink>
      <w:r>
        <w:rPr>
          <w:sz w:val="20"/>
        </w:rPr>
        <w:t>)</w:t>
      </w:r>
    </w:p>
    <w:p w14:paraId="6072CF86" w14:textId="47C56D4E" w:rsidR="00F767FA" w:rsidRPr="00F767FA" w:rsidRDefault="008D6059" w:rsidP="00F767FA">
      <w:pPr>
        <w:pStyle w:val="Normal1"/>
        <w:numPr>
          <w:ilvl w:val="0"/>
          <w:numId w:val="11"/>
        </w:numPr>
        <w:ind w:left="360" w:firstLine="0"/>
      </w:pPr>
      <w:r>
        <w:rPr>
          <w:sz w:val="20"/>
        </w:rPr>
        <w:t>Ref. 1-14: Campus Views 2012 (results of the annual faculty/staff survey)</w:t>
      </w:r>
      <w:r w:rsidR="00F767FA">
        <w:rPr>
          <w:sz w:val="20"/>
        </w:rPr>
        <w:br/>
        <w:t xml:space="preserve">       (</w:t>
      </w:r>
      <w:hyperlink r:id="rId26" w:history="1">
        <w:r w:rsidR="00F767FA" w:rsidRPr="00B715B4">
          <w:rPr>
            <w:rStyle w:val="Hyperlink"/>
            <w:sz w:val="20"/>
          </w:rPr>
          <w:t>http://www.glendale.edu/modules/showdocument.aspx?documentid=17691</w:t>
        </w:r>
      </w:hyperlink>
    </w:p>
    <w:p w14:paraId="06617CFA" w14:textId="77777777" w:rsidR="000553D9" w:rsidRDefault="008D6059">
      <w:pPr>
        <w:pStyle w:val="Normal1"/>
        <w:numPr>
          <w:ilvl w:val="0"/>
          <w:numId w:val="11"/>
        </w:numPr>
        <w:ind w:hanging="359"/>
      </w:pPr>
      <w:r>
        <w:rPr>
          <w:sz w:val="20"/>
        </w:rPr>
        <w:t>Ref. 1-15: Institutional Effectiveness Report 2012 (</w:t>
      </w:r>
      <w:hyperlink r:id="rId27">
        <w:r>
          <w:rPr>
            <w:color w:val="1155CC"/>
            <w:sz w:val="20"/>
            <w:u w:val="single"/>
          </w:rPr>
          <w:t>http://www.glendale.edu/Modules/ShowDocument.aspx?documentid=14681</w:t>
        </w:r>
      </w:hyperlink>
      <w:r>
        <w:rPr>
          <w:sz w:val="20"/>
        </w:rPr>
        <w:t>)</w:t>
      </w:r>
    </w:p>
    <w:p w14:paraId="6504292F" w14:textId="77777777" w:rsidR="000553D9" w:rsidRDefault="008D6059">
      <w:pPr>
        <w:pStyle w:val="Normal1"/>
        <w:numPr>
          <w:ilvl w:val="0"/>
          <w:numId w:val="11"/>
        </w:numPr>
        <w:ind w:hanging="359"/>
      </w:pPr>
      <w:r>
        <w:rPr>
          <w:sz w:val="20"/>
        </w:rPr>
        <w:t>Ref. 1-16: Accountability Report 2012 (</w:t>
      </w:r>
      <w:hyperlink r:id="rId28">
        <w:r>
          <w:rPr>
            <w:color w:val="1155CC"/>
            <w:sz w:val="20"/>
            <w:u w:val="single"/>
          </w:rPr>
          <w:t>http://www.glendale.edu/Modules/ShowDocument.aspx?documentid=16607</w:t>
        </w:r>
      </w:hyperlink>
      <w:r>
        <w:rPr>
          <w:sz w:val="20"/>
        </w:rPr>
        <w:t>)</w:t>
      </w:r>
    </w:p>
    <w:p w14:paraId="6BACC9E9" w14:textId="77777777" w:rsidR="000553D9" w:rsidRDefault="008D6059">
      <w:pPr>
        <w:pStyle w:val="Normal1"/>
        <w:numPr>
          <w:ilvl w:val="0"/>
          <w:numId w:val="11"/>
        </w:numPr>
        <w:ind w:hanging="359"/>
      </w:pPr>
      <w:r>
        <w:rPr>
          <w:sz w:val="20"/>
        </w:rPr>
        <w:t>Ref. 1-17: Academic Management Evaluation Form (</w:t>
      </w:r>
      <w:hyperlink r:id="rId29">
        <w:r>
          <w:rPr>
            <w:color w:val="1155CC"/>
            <w:sz w:val="20"/>
            <w:u w:val="single"/>
          </w:rPr>
          <w:t>http://www.glendale.edu/Modules/ShowDocument.aspx?documentid=8080</w:t>
        </w:r>
      </w:hyperlink>
      <w:r>
        <w:rPr>
          <w:sz w:val="20"/>
        </w:rPr>
        <w:t>)</w:t>
      </w:r>
    </w:p>
    <w:p w14:paraId="5ECAE7AE" w14:textId="77777777" w:rsidR="000553D9" w:rsidRDefault="000553D9">
      <w:pPr>
        <w:pStyle w:val="Normal1"/>
      </w:pPr>
    </w:p>
    <w:p w14:paraId="2926D7C1" w14:textId="730274D4" w:rsidR="000553D9" w:rsidRDefault="00403323">
      <w:pPr>
        <w:pStyle w:val="Normal1"/>
      </w:pPr>
      <w:r>
        <w:rPr>
          <w:b/>
          <w:sz w:val="20"/>
        </w:rPr>
        <w:br/>
      </w:r>
      <w:r>
        <w:rPr>
          <w:b/>
          <w:sz w:val="20"/>
        </w:rPr>
        <w:br/>
      </w:r>
      <w:r>
        <w:rPr>
          <w:b/>
          <w:sz w:val="20"/>
        </w:rPr>
        <w:br/>
      </w:r>
      <w:r>
        <w:rPr>
          <w:b/>
          <w:sz w:val="20"/>
        </w:rPr>
        <w:br/>
      </w:r>
      <w:r>
        <w:rPr>
          <w:b/>
          <w:sz w:val="20"/>
        </w:rPr>
        <w:br/>
      </w:r>
      <w:r>
        <w:rPr>
          <w:b/>
          <w:sz w:val="20"/>
        </w:rPr>
        <w:lastRenderedPageBreak/>
        <w:br/>
      </w:r>
      <w:r w:rsidR="008D6059">
        <w:rPr>
          <w:b/>
          <w:sz w:val="20"/>
        </w:rPr>
        <w:t>Recommendation 2</w:t>
      </w:r>
    </w:p>
    <w:p w14:paraId="522FBCE9" w14:textId="77777777" w:rsidR="000553D9" w:rsidRDefault="000553D9" w:rsidP="00403323">
      <w:pPr>
        <w:pStyle w:val="Normal1"/>
        <w:spacing w:line="240" w:lineRule="auto"/>
        <w:ind w:left="720"/>
      </w:pPr>
    </w:p>
    <w:p w14:paraId="1DB872B1" w14:textId="2305BA3D" w:rsidR="00A50318" w:rsidRDefault="008D6059" w:rsidP="00403323">
      <w:pPr>
        <w:pStyle w:val="Normal1"/>
        <w:numPr>
          <w:ilvl w:val="0"/>
          <w:numId w:val="13"/>
        </w:numPr>
        <w:spacing w:line="240" w:lineRule="auto"/>
        <w:ind w:left="720"/>
      </w:pPr>
      <w:r>
        <w:rPr>
          <w:sz w:val="20"/>
        </w:rPr>
        <w:t xml:space="preserve">Ref. 2-2: Blank program review document </w:t>
      </w:r>
      <w:r w:rsidR="004848FC">
        <w:rPr>
          <w:sz w:val="20"/>
        </w:rPr>
        <w:t xml:space="preserve">(including data) </w:t>
      </w:r>
      <w:r>
        <w:rPr>
          <w:sz w:val="20"/>
        </w:rPr>
        <w:t>from 2012-2013</w:t>
      </w:r>
      <w:r w:rsidR="00A50318">
        <w:rPr>
          <w:sz w:val="20"/>
        </w:rPr>
        <w:br/>
        <w:t>(</w:t>
      </w:r>
      <w:hyperlink r:id="rId30" w:history="1">
        <w:r w:rsidR="00A50318" w:rsidRPr="00B3329C">
          <w:rPr>
            <w:rStyle w:val="Hyperlink"/>
            <w:sz w:val="20"/>
          </w:rPr>
          <w:t>http://www.glendale.edu/Modules/ShowDocument.aspx?documentid=17695</w:t>
        </w:r>
      </w:hyperlink>
      <w:r w:rsidR="00A50318">
        <w:rPr>
          <w:sz w:val="20"/>
        </w:rPr>
        <w:t>)</w:t>
      </w:r>
    </w:p>
    <w:p w14:paraId="1810F2C6" w14:textId="37D5DD43" w:rsidR="00A50318" w:rsidRDefault="008D6059" w:rsidP="00403323">
      <w:pPr>
        <w:pStyle w:val="Normal1"/>
        <w:numPr>
          <w:ilvl w:val="0"/>
          <w:numId w:val="13"/>
        </w:numPr>
        <w:spacing w:line="240" w:lineRule="auto"/>
        <w:ind w:left="720"/>
      </w:pPr>
      <w:r w:rsidRPr="00A50318">
        <w:rPr>
          <w:sz w:val="20"/>
        </w:rPr>
        <w:t>Ref. 2-3: Course Outline form from Curriculum and Instruction Committee</w:t>
      </w:r>
      <w:r w:rsidR="00A50318" w:rsidRPr="00A50318">
        <w:rPr>
          <w:sz w:val="20"/>
        </w:rPr>
        <w:br/>
        <w:t>(</w:t>
      </w:r>
      <w:hyperlink r:id="rId31" w:history="1">
        <w:r w:rsidR="00A50318" w:rsidRPr="00B3329C">
          <w:rPr>
            <w:rStyle w:val="Hyperlink"/>
            <w:sz w:val="20"/>
          </w:rPr>
          <w:t>http://www.glendale.edu/Modules/ShowDocument.aspx?documentid=17696</w:t>
        </w:r>
      </w:hyperlink>
      <w:r w:rsidR="00A50318" w:rsidRPr="00A50318">
        <w:rPr>
          <w:sz w:val="20"/>
        </w:rPr>
        <w:t>)</w:t>
      </w:r>
    </w:p>
    <w:p w14:paraId="7F948ED5" w14:textId="72E728FA" w:rsidR="000553D9" w:rsidRPr="00A060E0" w:rsidRDefault="008D6059" w:rsidP="00403323">
      <w:pPr>
        <w:pStyle w:val="Normal1"/>
        <w:numPr>
          <w:ilvl w:val="0"/>
          <w:numId w:val="13"/>
        </w:numPr>
        <w:spacing w:line="240" w:lineRule="auto"/>
        <w:ind w:left="720"/>
        <w:rPr>
          <w:sz w:val="20"/>
          <w:szCs w:val="20"/>
        </w:rPr>
      </w:pPr>
      <w:r w:rsidRPr="00A50318">
        <w:rPr>
          <w:sz w:val="20"/>
        </w:rPr>
        <w:t>Ref. 2-4</w:t>
      </w:r>
      <w:r w:rsidR="00B15166">
        <w:rPr>
          <w:sz w:val="20"/>
        </w:rPr>
        <w:t xml:space="preserve"> (a)</w:t>
      </w:r>
      <w:r w:rsidRPr="00A50318">
        <w:rPr>
          <w:sz w:val="20"/>
        </w:rPr>
        <w:t>: Blank assessment form for new SLOAC database</w:t>
      </w:r>
      <w:r w:rsidR="00A50318" w:rsidRPr="00A50318">
        <w:rPr>
          <w:sz w:val="20"/>
        </w:rPr>
        <w:br/>
      </w:r>
      <w:r w:rsidR="00A50318" w:rsidRPr="00A060E0">
        <w:rPr>
          <w:sz w:val="20"/>
          <w:szCs w:val="20"/>
        </w:rPr>
        <w:t>(</w:t>
      </w:r>
      <w:hyperlink r:id="rId32" w:history="1">
        <w:r w:rsidR="00A060E0" w:rsidRPr="00A060E0">
          <w:rPr>
            <w:rStyle w:val="Hyperlink"/>
            <w:sz w:val="20"/>
            <w:szCs w:val="20"/>
          </w:rPr>
          <w:t>http://www.glendale.edu/Modules/ShowDocument.aspx?documentid=17719</w:t>
        </w:r>
      </w:hyperlink>
      <w:r w:rsidR="00A50318" w:rsidRPr="00A060E0">
        <w:rPr>
          <w:sz w:val="20"/>
          <w:szCs w:val="20"/>
        </w:rPr>
        <w:t>)</w:t>
      </w:r>
    </w:p>
    <w:p w14:paraId="38FDAF47" w14:textId="17E439E2" w:rsidR="00B15166" w:rsidRPr="00A060E0" w:rsidRDefault="00B15166" w:rsidP="00403323">
      <w:pPr>
        <w:pStyle w:val="Normal1"/>
        <w:spacing w:line="240" w:lineRule="auto"/>
        <w:ind w:left="720"/>
        <w:rPr>
          <w:sz w:val="20"/>
          <w:szCs w:val="20"/>
        </w:rPr>
      </w:pPr>
      <w:r w:rsidRPr="00B15166">
        <w:rPr>
          <w:sz w:val="20"/>
          <w:szCs w:val="20"/>
        </w:rPr>
        <w:t>Ref. 2-4 (b)</w:t>
      </w:r>
      <w:r>
        <w:rPr>
          <w:sz w:val="20"/>
          <w:szCs w:val="20"/>
        </w:rPr>
        <w:t xml:space="preserve">: SLO Outcome </w:t>
      </w:r>
      <w:proofErr w:type="gramStart"/>
      <w:r>
        <w:rPr>
          <w:sz w:val="20"/>
          <w:szCs w:val="20"/>
        </w:rPr>
        <w:t>Descriptions</w:t>
      </w:r>
      <w:proofErr w:type="gramEnd"/>
      <w:r>
        <w:rPr>
          <w:sz w:val="20"/>
          <w:szCs w:val="20"/>
        </w:rPr>
        <w:br/>
      </w:r>
      <w:r w:rsidRPr="00A060E0">
        <w:rPr>
          <w:sz w:val="20"/>
          <w:szCs w:val="20"/>
        </w:rPr>
        <w:t>(</w:t>
      </w:r>
      <w:hyperlink r:id="rId33" w:history="1">
        <w:r w:rsidR="00294B83" w:rsidRPr="00A060E0">
          <w:rPr>
            <w:rStyle w:val="Hyperlink"/>
            <w:sz w:val="20"/>
            <w:szCs w:val="20"/>
          </w:rPr>
          <w:t>http://www.glendale.edu/Modules/ShowDocument.aspx?documentid</w:t>
        </w:r>
        <w:r w:rsidRPr="00A060E0">
          <w:rPr>
            <w:rStyle w:val="Hyperlink"/>
            <w:sz w:val="20"/>
            <w:szCs w:val="20"/>
          </w:rPr>
          <w:t>=</w:t>
        </w:r>
        <w:r w:rsidR="00A060E0" w:rsidRPr="00A060E0">
          <w:rPr>
            <w:rStyle w:val="Hyperlink"/>
            <w:sz w:val="20"/>
            <w:szCs w:val="20"/>
          </w:rPr>
          <w:t>17720</w:t>
        </w:r>
      </w:hyperlink>
      <w:r w:rsidRPr="00A060E0">
        <w:rPr>
          <w:sz w:val="20"/>
          <w:szCs w:val="20"/>
        </w:rPr>
        <w:t>)</w:t>
      </w:r>
    </w:p>
    <w:p w14:paraId="0138796B" w14:textId="77777777" w:rsidR="000553D9" w:rsidRPr="00A50318" w:rsidRDefault="008D6059" w:rsidP="00403323">
      <w:pPr>
        <w:pStyle w:val="Normal1"/>
        <w:numPr>
          <w:ilvl w:val="0"/>
          <w:numId w:val="10"/>
        </w:numPr>
        <w:spacing w:line="240" w:lineRule="auto"/>
        <w:ind w:hanging="359"/>
      </w:pPr>
      <w:r>
        <w:rPr>
          <w:sz w:val="20"/>
        </w:rPr>
        <w:t>Ref. 2-5: Student Views 2012, Results of the Spring 2012 Student Survey (</w:t>
      </w:r>
      <w:hyperlink r:id="rId34">
        <w:r>
          <w:rPr>
            <w:color w:val="1155CC"/>
            <w:sz w:val="20"/>
            <w:u w:val="single"/>
          </w:rPr>
          <w:t>http://www.glendale.edu/Modules/ShowDocument.aspx?documentid=14978</w:t>
        </w:r>
      </w:hyperlink>
      <w:r>
        <w:rPr>
          <w:sz w:val="20"/>
        </w:rPr>
        <w:t>)</w:t>
      </w:r>
    </w:p>
    <w:p w14:paraId="2612F586" w14:textId="1EAB0D36" w:rsidR="000553D9" w:rsidRDefault="008D6059" w:rsidP="00403323">
      <w:pPr>
        <w:pStyle w:val="Normal1"/>
        <w:numPr>
          <w:ilvl w:val="0"/>
          <w:numId w:val="10"/>
        </w:numPr>
        <w:spacing w:line="240" w:lineRule="auto"/>
        <w:ind w:hanging="359"/>
      </w:pPr>
      <w:r w:rsidRPr="00A50318">
        <w:rPr>
          <w:sz w:val="20"/>
        </w:rPr>
        <w:t>Ref. 2-6: Applications for activities funded by Title V grants showing necessity of learning outcomes assessment</w:t>
      </w:r>
      <w:r w:rsidR="00A50318" w:rsidRPr="00A50318">
        <w:rPr>
          <w:sz w:val="20"/>
        </w:rPr>
        <w:br/>
        <w:t>(</w:t>
      </w:r>
      <w:hyperlink r:id="rId35" w:history="1">
        <w:r w:rsidR="00A50318" w:rsidRPr="00A50318">
          <w:rPr>
            <w:rStyle w:val="Hyperlink"/>
            <w:sz w:val="20"/>
          </w:rPr>
          <w:t>http://www.glendale.edu/Modules/ShowDocument.aspx?documentid=17697</w:t>
        </w:r>
      </w:hyperlink>
      <w:r w:rsidR="00A50318" w:rsidRPr="00A50318">
        <w:rPr>
          <w:sz w:val="20"/>
        </w:rPr>
        <w:t>)</w:t>
      </w:r>
      <w:r w:rsidR="00A50318">
        <w:br/>
        <w:t xml:space="preserve"> </w:t>
      </w:r>
    </w:p>
    <w:p w14:paraId="0690A59D" w14:textId="7F9E5BCB" w:rsidR="000553D9" w:rsidRDefault="00403323">
      <w:pPr>
        <w:pStyle w:val="Normal1"/>
      </w:pPr>
      <w:r>
        <w:br/>
      </w:r>
      <w:r w:rsidR="008D6059">
        <w:rPr>
          <w:b/>
          <w:sz w:val="20"/>
        </w:rPr>
        <w:t>Recommendation 3</w:t>
      </w:r>
    </w:p>
    <w:p w14:paraId="762E3D0B" w14:textId="77777777" w:rsidR="000553D9" w:rsidRDefault="000553D9">
      <w:pPr>
        <w:pStyle w:val="Normal1"/>
      </w:pPr>
    </w:p>
    <w:p w14:paraId="66E8B3FF" w14:textId="77777777" w:rsidR="000553D9" w:rsidRDefault="008D6059" w:rsidP="00403323">
      <w:pPr>
        <w:pStyle w:val="Normal1"/>
        <w:numPr>
          <w:ilvl w:val="0"/>
          <w:numId w:val="10"/>
        </w:numPr>
        <w:spacing w:line="240" w:lineRule="auto"/>
        <w:ind w:hanging="359"/>
      </w:pPr>
      <w:r>
        <w:rPr>
          <w:sz w:val="20"/>
        </w:rPr>
        <w:t>Ref. 3-1: 2012-2013 College Catalog (</w:t>
      </w:r>
      <w:hyperlink r:id="rId36">
        <w:r>
          <w:rPr>
            <w:color w:val="1155CC"/>
            <w:sz w:val="20"/>
            <w:u w:val="single"/>
          </w:rPr>
          <w:t>http://www.glendale.edu/modules/ShowDocument.aspx?documentid=14862</w:t>
        </w:r>
      </w:hyperlink>
      <w:r>
        <w:rPr>
          <w:sz w:val="20"/>
        </w:rPr>
        <w:t>)</w:t>
      </w:r>
    </w:p>
    <w:p w14:paraId="084E3826" w14:textId="77777777" w:rsidR="000553D9" w:rsidRDefault="008D6059" w:rsidP="00403323">
      <w:pPr>
        <w:pStyle w:val="Normal1"/>
        <w:numPr>
          <w:ilvl w:val="0"/>
          <w:numId w:val="10"/>
        </w:numPr>
        <w:spacing w:line="240" w:lineRule="auto"/>
        <w:ind w:hanging="359"/>
      </w:pPr>
      <w:r>
        <w:rPr>
          <w:sz w:val="20"/>
        </w:rPr>
        <w:t>Ref. 3-2: Fall 2012 Class Schedule (</w:t>
      </w:r>
      <w:hyperlink r:id="rId37">
        <w:r>
          <w:rPr>
            <w:color w:val="1155CC"/>
            <w:sz w:val="20"/>
            <w:u w:val="single"/>
          </w:rPr>
          <w:t>http://secure.glendale.edu/schedules_ps/</w:t>
        </w:r>
      </w:hyperlink>
      <w:r>
        <w:rPr>
          <w:sz w:val="20"/>
        </w:rPr>
        <w:t>)</w:t>
      </w:r>
    </w:p>
    <w:p w14:paraId="3BCCBC9B" w14:textId="77777777" w:rsidR="000553D9" w:rsidRDefault="008D6059" w:rsidP="00403323">
      <w:pPr>
        <w:pStyle w:val="Normal1"/>
        <w:numPr>
          <w:ilvl w:val="0"/>
          <w:numId w:val="10"/>
        </w:numPr>
        <w:spacing w:line="240" w:lineRule="auto"/>
        <w:ind w:hanging="359"/>
      </w:pPr>
      <w:r>
        <w:rPr>
          <w:sz w:val="20"/>
        </w:rPr>
        <w:t>Ref. 3-3: Glendale Community College website schedule page (</w:t>
      </w:r>
      <w:hyperlink r:id="rId38">
        <w:r>
          <w:rPr>
            <w:color w:val="1155CC"/>
            <w:sz w:val="20"/>
            <w:u w:val="single"/>
          </w:rPr>
          <w:t>http://www.glendale.edu/index.aspx?page=5</w:t>
        </w:r>
      </w:hyperlink>
      <w:r>
        <w:rPr>
          <w:sz w:val="20"/>
        </w:rPr>
        <w:t>)</w:t>
      </w:r>
    </w:p>
    <w:p w14:paraId="386C65FE" w14:textId="77777777" w:rsidR="000553D9" w:rsidRDefault="000553D9">
      <w:pPr>
        <w:pStyle w:val="Normal1"/>
      </w:pPr>
    </w:p>
    <w:p w14:paraId="31919964" w14:textId="77777777" w:rsidR="000553D9" w:rsidRDefault="000553D9">
      <w:pPr>
        <w:pStyle w:val="Normal1"/>
      </w:pPr>
    </w:p>
    <w:p w14:paraId="39B65C2F" w14:textId="77777777" w:rsidR="000553D9" w:rsidRDefault="008D6059">
      <w:pPr>
        <w:pStyle w:val="Normal1"/>
      </w:pPr>
      <w:r>
        <w:rPr>
          <w:b/>
          <w:sz w:val="20"/>
        </w:rPr>
        <w:t>Recommendation 4</w:t>
      </w:r>
    </w:p>
    <w:p w14:paraId="7BEF7EDF" w14:textId="77777777" w:rsidR="008C383C" w:rsidRDefault="008C383C" w:rsidP="008C383C">
      <w:pPr>
        <w:pStyle w:val="Normal1"/>
      </w:pPr>
    </w:p>
    <w:p w14:paraId="6248EE1A" w14:textId="3B7827C0" w:rsidR="007034A5" w:rsidRPr="007034A5" w:rsidRDefault="008C383C" w:rsidP="00403323">
      <w:pPr>
        <w:pStyle w:val="Normal1"/>
        <w:numPr>
          <w:ilvl w:val="0"/>
          <w:numId w:val="14"/>
        </w:numPr>
        <w:spacing w:line="240" w:lineRule="auto"/>
      </w:pPr>
      <w:r>
        <w:rPr>
          <w:sz w:val="20"/>
        </w:rPr>
        <w:t>Ref. 4-1</w:t>
      </w:r>
      <w:r w:rsidR="007034A5">
        <w:rPr>
          <w:sz w:val="20"/>
        </w:rPr>
        <w:t xml:space="preserve"> (a)</w:t>
      </w:r>
      <w:r>
        <w:rPr>
          <w:sz w:val="20"/>
        </w:rPr>
        <w:t xml:space="preserve">: Staff Development </w:t>
      </w:r>
      <w:r w:rsidR="008F0280">
        <w:rPr>
          <w:sz w:val="20"/>
        </w:rPr>
        <w:t xml:space="preserve">Committee </w:t>
      </w:r>
      <w:r w:rsidR="007034A5">
        <w:rPr>
          <w:sz w:val="20"/>
        </w:rPr>
        <w:t>Agenda, September 13, 2012</w:t>
      </w:r>
    </w:p>
    <w:p w14:paraId="2409AB08" w14:textId="79F6D81D" w:rsidR="007034A5" w:rsidRPr="007034A5" w:rsidRDefault="007034A5" w:rsidP="00403323">
      <w:pPr>
        <w:pStyle w:val="Normal1"/>
        <w:spacing w:line="240" w:lineRule="auto"/>
        <w:ind w:left="720"/>
      </w:pPr>
      <w:r>
        <w:rPr>
          <w:sz w:val="20"/>
          <w:szCs w:val="20"/>
        </w:rPr>
        <w:t>(</w:t>
      </w:r>
      <w:hyperlink r:id="rId39" w:history="1">
        <w:r w:rsidRPr="00A060E0">
          <w:rPr>
            <w:rStyle w:val="Hyperlink"/>
            <w:sz w:val="20"/>
            <w:szCs w:val="20"/>
          </w:rPr>
          <w:t>http://www.glendale.edu/modules/showdocument.aspx?documentid=</w:t>
        </w:r>
        <w:r w:rsidR="00A060E0" w:rsidRPr="00A060E0">
          <w:rPr>
            <w:rStyle w:val="Hyperlink"/>
            <w:sz w:val="20"/>
            <w:szCs w:val="20"/>
          </w:rPr>
          <w:t>17721</w:t>
        </w:r>
      </w:hyperlink>
      <w:r>
        <w:rPr>
          <w:sz w:val="20"/>
          <w:szCs w:val="20"/>
        </w:rPr>
        <w:t>)</w:t>
      </w:r>
    </w:p>
    <w:p w14:paraId="0C24CE8B" w14:textId="1EF3BD4D" w:rsidR="008122AA" w:rsidRDefault="007034A5" w:rsidP="00403323">
      <w:pPr>
        <w:pStyle w:val="Normal1"/>
        <w:numPr>
          <w:ilvl w:val="0"/>
          <w:numId w:val="14"/>
        </w:numPr>
        <w:spacing w:line="240" w:lineRule="auto"/>
      </w:pPr>
      <w:r>
        <w:rPr>
          <w:sz w:val="20"/>
        </w:rPr>
        <w:t>Ref. 4-1 (b): Staff Development Committee Minutes</w:t>
      </w:r>
      <w:r w:rsidR="008F0280">
        <w:rPr>
          <w:sz w:val="20"/>
        </w:rPr>
        <w:t xml:space="preserve">, </w:t>
      </w:r>
      <w:r w:rsidR="008C383C">
        <w:rPr>
          <w:sz w:val="20"/>
        </w:rPr>
        <w:t>October 16, 2012</w:t>
      </w:r>
      <w:r w:rsidR="008F0280">
        <w:rPr>
          <w:sz w:val="20"/>
        </w:rPr>
        <w:t xml:space="preserve"> </w:t>
      </w:r>
      <w:r w:rsidR="008122AA">
        <w:rPr>
          <w:sz w:val="20"/>
        </w:rPr>
        <w:br/>
      </w:r>
      <w:r w:rsidR="008122AA">
        <w:rPr>
          <w:sz w:val="20"/>
          <w:szCs w:val="20"/>
        </w:rPr>
        <w:t>(</w:t>
      </w:r>
      <w:hyperlink r:id="rId40" w:history="1">
        <w:r w:rsidR="008122AA" w:rsidRPr="00A060E0">
          <w:rPr>
            <w:rStyle w:val="Hyperlink"/>
            <w:sz w:val="20"/>
            <w:szCs w:val="20"/>
          </w:rPr>
          <w:t>http://www.glendale.edu/modules/showdocument.aspx?documentid=</w:t>
        </w:r>
        <w:r w:rsidR="00A060E0" w:rsidRPr="00A060E0">
          <w:rPr>
            <w:rStyle w:val="Hyperlink"/>
            <w:sz w:val="20"/>
            <w:szCs w:val="20"/>
          </w:rPr>
          <w:t>17722</w:t>
        </w:r>
      </w:hyperlink>
      <w:r w:rsidR="008122AA">
        <w:rPr>
          <w:sz w:val="20"/>
          <w:szCs w:val="20"/>
        </w:rPr>
        <w:t>)</w:t>
      </w:r>
    </w:p>
    <w:p w14:paraId="3B288CF3" w14:textId="581BF93C" w:rsidR="008122AA" w:rsidRPr="008122AA" w:rsidRDefault="008F0280" w:rsidP="00403323">
      <w:pPr>
        <w:pStyle w:val="Normal1"/>
        <w:numPr>
          <w:ilvl w:val="0"/>
          <w:numId w:val="10"/>
        </w:numPr>
        <w:spacing w:line="240" w:lineRule="auto"/>
        <w:ind w:hanging="359"/>
      </w:pPr>
      <w:r w:rsidRPr="008122AA">
        <w:rPr>
          <w:sz w:val="20"/>
        </w:rPr>
        <w:t>Ref. 4-2: Emergency Response Training (Notice to Campus), January 8, 2013</w:t>
      </w:r>
      <w:r w:rsidR="008122AA" w:rsidRPr="008122AA">
        <w:rPr>
          <w:sz w:val="20"/>
        </w:rPr>
        <w:br/>
      </w:r>
      <w:r w:rsidR="008122AA">
        <w:rPr>
          <w:sz w:val="20"/>
          <w:szCs w:val="20"/>
        </w:rPr>
        <w:t>(</w:t>
      </w:r>
      <w:hyperlink r:id="rId41" w:history="1">
        <w:r w:rsidR="008122AA" w:rsidRPr="00A060E0">
          <w:rPr>
            <w:rStyle w:val="Hyperlink"/>
            <w:sz w:val="20"/>
            <w:szCs w:val="20"/>
          </w:rPr>
          <w:t>http://www.glendale.edu/modules/showdocument.aspx?documentid=</w:t>
        </w:r>
        <w:r w:rsidR="00A060E0" w:rsidRPr="00A060E0">
          <w:rPr>
            <w:rStyle w:val="Hyperlink"/>
            <w:sz w:val="20"/>
            <w:szCs w:val="20"/>
          </w:rPr>
          <w:t>17724</w:t>
        </w:r>
      </w:hyperlink>
      <w:r w:rsidR="00A060E0">
        <w:rPr>
          <w:sz w:val="20"/>
          <w:szCs w:val="20"/>
        </w:rPr>
        <w:t>)</w:t>
      </w:r>
    </w:p>
    <w:p w14:paraId="215681B0" w14:textId="310F0577" w:rsidR="008C383C" w:rsidRPr="008F0280" w:rsidRDefault="008F0280" w:rsidP="00403323">
      <w:pPr>
        <w:pStyle w:val="Normal1"/>
        <w:numPr>
          <w:ilvl w:val="0"/>
          <w:numId w:val="10"/>
        </w:numPr>
        <w:spacing w:line="240" w:lineRule="auto"/>
        <w:ind w:hanging="359"/>
      </w:pPr>
      <w:r w:rsidRPr="008122AA">
        <w:rPr>
          <w:sz w:val="20"/>
        </w:rPr>
        <w:t>Ref. 4-3: Faculty Workshop Schedule-Winter 2013</w:t>
      </w:r>
      <w:r w:rsidR="008122AA" w:rsidRPr="008122AA">
        <w:rPr>
          <w:sz w:val="20"/>
        </w:rPr>
        <w:br/>
      </w:r>
      <w:r w:rsidR="008122AA" w:rsidRPr="008122AA">
        <w:rPr>
          <w:sz w:val="20"/>
          <w:szCs w:val="20"/>
        </w:rPr>
        <w:t>(</w:t>
      </w:r>
      <w:hyperlink r:id="rId42" w:history="1">
        <w:r w:rsidR="008122AA" w:rsidRPr="00A060E0">
          <w:rPr>
            <w:rStyle w:val="Hyperlink"/>
            <w:sz w:val="20"/>
            <w:szCs w:val="20"/>
          </w:rPr>
          <w:t>http://www.glendale.edu/modules/showdocument.aspx?documentid=</w:t>
        </w:r>
        <w:r w:rsidR="00A060E0" w:rsidRPr="00A060E0">
          <w:rPr>
            <w:rStyle w:val="Hyperlink"/>
            <w:sz w:val="20"/>
            <w:szCs w:val="20"/>
          </w:rPr>
          <w:t>17723</w:t>
        </w:r>
      </w:hyperlink>
      <w:r w:rsidR="008122AA" w:rsidRPr="008122AA">
        <w:rPr>
          <w:sz w:val="20"/>
          <w:szCs w:val="20"/>
        </w:rPr>
        <w:t>)</w:t>
      </w:r>
    </w:p>
    <w:p w14:paraId="7D4B95BB" w14:textId="1193BEEA" w:rsidR="008F0280" w:rsidRPr="005438C4" w:rsidRDefault="00DD2BD1" w:rsidP="00403323">
      <w:pPr>
        <w:pStyle w:val="Normal1"/>
        <w:numPr>
          <w:ilvl w:val="0"/>
          <w:numId w:val="10"/>
        </w:numPr>
        <w:spacing w:line="240" w:lineRule="auto"/>
        <w:ind w:hanging="359"/>
      </w:pPr>
      <w:r>
        <w:rPr>
          <w:sz w:val="20"/>
        </w:rPr>
        <w:t xml:space="preserve">Ref. 4-4: </w:t>
      </w:r>
      <w:r w:rsidR="005438C4">
        <w:rPr>
          <w:sz w:val="20"/>
        </w:rPr>
        <w:t>Staff Development Planning, November 29. 2012</w:t>
      </w:r>
      <w:r w:rsidR="008122AA">
        <w:rPr>
          <w:sz w:val="20"/>
        </w:rPr>
        <w:br/>
      </w:r>
      <w:r w:rsidR="008122AA">
        <w:rPr>
          <w:sz w:val="20"/>
          <w:szCs w:val="20"/>
        </w:rPr>
        <w:t>(</w:t>
      </w:r>
      <w:hyperlink r:id="rId43" w:history="1">
        <w:r w:rsidR="005438C4" w:rsidRPr="00A060E0">
          <w:rPr>
            <w:rStyle w:val="Hyperlink"/>
            <w:sz w:val="20"/>
            <w:szCs w:val="20"/>
          </w:rPr>
          <w:t>http://www.glendale.edu/modules/showdocument.aspx?documentid</w:t>
        </w:r>
        <w:r w:rsidR="008122AA" w:rsidRPr="00A060E0">
          <w:rPr>
            <w:rStyle w:val="Hyperlink"/>
            <w:sz w:val="20"/>
            <w:szCs w:val="20"/>
          </w:rPr>
          <w:t>=</w:t>
        </w:r>
        <w:r w:rsidR="00A060E0" w:rsidRPr="00A060E0">
          <w:rPr>
            <w:rStyle w:val="Hyperlink"/>
            <w:sz w:val="20"/>
            <w:szCs w:val="20"/>
          </w:rPr>
          <w:t>17725</w:t>
        </w:r>
      </w:hyperlink>
      <w:r w:rsidR="00A060E0">
        <w:rPr>
          <w:sz w:val="20"/>
          <w:szCs w:val="20"/>
        </w:rPr>
        <w:t>)</w:t>
      </w:r>
    </w:p>
    <w:p w14:paraId="1344911A" w14:textId="45C056F4" w:rsidR="00FE4F5C" w:rsidRPr="00FE4F5C" w:rsidRDefault="005438C4" w:rsidP="00403323">
      <w:pPr>
        <w:pStyle w:val="Normal1"/>
        <w:numPr>
          <w:ilvl w:val="0"/>
          <w:numId w:val="10"/>
        </w:numPr>
        <w:spacing w:line="240" w:lineRule="auto"/>
        <w:ind w:hanging="359"/>
      </w:pPr>
      <w:r>
        <w:rPr>
          <w:sz w:val="20"/>
          <w:szCs w:val="20"/>
        </w:rPr>
        <w:t xml:space="preserve">Ref. 4-5: </w:t>
      </w:r>
      <w:r>
        <w:rPr>
          <w:sz w:val="20"/>
        </w:rPr>
        <w:t>HR Evaluation Summary Report</w:t>
      </w:r>
      <w:r>
        <w:rPr>
          <w:sz w:val="20"/>
        </w:rPr>
        <w:br/>
      </w:r>
      <w:r>
        <w:rPr>
          <w:sz w:val="20"/>
          <w:szCs w:val="20"/>
        </w:rPr>
        <w:t>(</w:t>
      </w:r>
      <w:hyperlink r:id="rId44" w:history="1">
        <w:r w:rsidR="00FE4F5C" w:rsidRPr="00947CDB">
          <w:rPr>
            <w:rStyle w:val="Hyperlink"/>
            <w:sz w:val="20"/>
            <w:szCs w:val="20"/>
          </w:rPr>
          <w:t>http://www.glendale.edu/modules/showdocument.aspx?documentid=17752</w:t>
        </w:r>
      </w:hyperlink>
    </w:p>
    <w:p w14:paraId="490A15B0" w14:textId="77777777" w:rsidR="00FE4F5C" w:rsidRPr="00FE4F5C" w:rsidRDefault="00FE4F5C" w:rsidP="00FE4F5C">
      <w:pPr>
        <w:pStyle w:val="Normal1"/>
        <w:spacing w:line="240" w:lineRule="auto"/>
        <w:ind w:left="720"/>
      </w:pPr>
    </w:p>
    <w:p w14:paraId="5BC3E3C1" w14:textId="77777777" w:rsidR="005438C4" w:rsidRPr="005438C4" w:rsidRDefault="005438C4" w:rsidP="00FE4F5C">
      <w:pPr>
        <w:pStyle w:val="Normal1"/>
        <w:spacing w:line="240" w:lineRule="auto"/>
        <w:ind w:left="720"/>
      </w:pPr>
    </w:p>
    <w:p w14:paraId="3F4942E3" w14:textId="48C16AA6" w:rsidR="000553D9" w:rsidRDefault="008D6059">
      <w:pPr>
        <w:pStyle w:val="Normal1"/>
      </w:pPr>
      <w:r>
        <w:rPr>
          <w:b/>
          <w:sz w:val="20"/>
        </w:rPr>
        <w:t>Recommendation 5</w:t>
      </w:r>
    </w:p>
    <w:p w14:paraId="7897D800" w14:textId="77777777" w:rsidR="000553D9" w:rsidRDefault="000553D9">
      <w:pPr>
        <w:pStyle w:val="Normal1"/>
      </w:pPr>
    </w:p>
    <w:p w14:paraId="74467A86" w14:textId="77777777" w:rsidR="000553D9" w:rsidRDefault="008D6059" w:rsidP="00FE4F5C">
      <w:pPr>
        <w:pStyle w:val="Normal1"/>
        <w:numPr>
          <w:ilvl w:val="0"/>
          <w:numId w:val="5"/>
        </w:numPr>
        <w:spacing w:line="240" w:lineRule="auto"/>
        <w:ind w:hanging="359"/>
      </w:pPr>
      <w:r>
        <w:rPr>
          <w:sz w:val="20"/>
        </w:rPr>
        <w:t>Ref. 5-1: Campus Profile 2012 (</w:t>
      </w:r>
      <w:hyperlink r:id="rId45">
        <w:r>
          <w:rPr>
            <w:color w:val="1155CC"/>
            <w:sz w:val="20"/>
            <w:u w:val="single"/>
          </w:rPr>
          <w:t>http://www.glendale.edu/Modules/ShowDocument.aspx?documentid=15885</w:t>
        </w:r>
      </w:hyperlink>
      <w:r>
        <w:rPr>
          <w:sz w:val="20"/>
        </w:rPr>
        <w:t>)</w:t>
      </w:r>
    </w:p>
    <w:p w14:paraId="4ED750B4" w14:textId="77777777" w:rsidR="000553D9" w:rsidRDefault="008D6059" w:rsidP="00FE4F5C">
      <w:pPr>
        <w:pStyle w:val="Normal1"/>
        <w:numPr>
          <w:ilvl w:val="0"/>
          <w:numId w:val="5"/>
        </w:numPr>
        <w:spacing w:line="240" w:lineRule="auto"/>
        <w:ind w:hanging="359"/>
      </w:pPr>
      <w:r>
        <w:rPr>
          <w:sz w:val="20"/>
        </w:rPr>
        <w:t>Ref. 5-2: Board Policy 7100, Commitment to Diversity (</w:t>
      </w:r>
      <w:hyperlink r:id="rId46">
        <w:r>
          <w:rPr>
            <w:color w:val="1155CC"/>
            <w:sz w:val="20"/>
            <w:u w:val="single"/>
          </w:rPr>
          <w:t>http://www.glendale.edu/Modules/ShowDocument.aspx?documentid=2692</w:t>
        </w:r>
      </w:hyperlink>
      <w:r>
        <w:rPr>
          <w:sz w:val="20"/>
        </w:rPr>
        <w:t>)</w:t>
      </w:r>
    </w:p>
    <w:p w14:paraId="353FE421" w14:textId="77777777" w:rsidR="000553D9" w:rsidRDefault="008D6059" w:rsidP="00FE4F5C">
      <w:pPr>
        <w:pStyle w:val="Normal1"/>
        <w:numPr>
          <w:ilvl w:val="0"/>
          <w:numId w:val="5"/>
        </w:numPr>
        <w:spacing w:line="240" w:lineRule="auto"/>
        <w:ind w:hanging="359"/>
      </w:pPr>
      <w:r>
        <w:rPr>
          <w:sz w:val="20"/>
        </w:rPr>
        <w:t>Ref. 5-3: Equal Employment Opportunity Plan, included in Human Resources Plan (</w:t>
      </w:r>
      <w:hyperlink r:id="rId47">
        <w:r>
          <w:rPr>
            <w:color w:val="1155CC"/>
            <w:sz w:val="20"/>
            <w:u w:val="single"/>
          </w:rPr>
          <w:t>http://www.glendale.edu/Modules/ShowDocument.aspx?documentid=9437</w:t>
        </w:r>
      </w:hyperlink>
      <w:r>
        <w:rPr>
          <w:sz w:val="20"/>
        </w:rPr>
        <w:t>)</w:t>
      </w:r>
    </w:p>
    <w:p w14:paraId="2B127BE3" w14:textId="77777777" w:rsidR="000553D9" w:rsidRDefault="000553D9">
      <w:pPr>
        <w:pStyle w:val="Normal1"/>
      </w:pPr>
    </w:p>
    <w:p w14:paraId="7F278642" w14:textId="01B33B2B" w:rsidR="000553D9" w:rsidRDefault="00403323">
      <w:pPr>
        <w:pStyle w:val="Normal1"/>
      </w:pPr>
      <w:r>
        <w:rPr>
          <w:b/>
          <w:sz w:val="20"/>
        </w:rPr>
        <w:lastRenderedPageBreak/>
        <w:br/>
      </w:r>
      <w:r w:rsidR="008D6059">
        <w:rPr>
          <w:b/>
          <w:sz w:val="20"/>
        </w:rPr>
        <w:t>Recommendation 6</w:t>
      </w:r>
    </w:p>
    <w:p w14:paraId="2A56872B" w14:textId="77777777" w:rsidR="000553D9" w:rsidRDefault="000553D9">
      <w:pPr>
        <w:pStyle w:val="Normal1"/>
      </w:pPr>
    </w:p>
    <w:p w14:paraId="548C3365" w14:textId="77777777" w:rsidR="000553D9" w:rsidRDefault="008D6059">
      <w:pPr>
        <w:pStyle w:val="Normal1"/>
        <w:numPr>
          <w:ilvl w:val="0"/>
          <w:numId w:val="4"/>
        </w:numPr>
        <w:ind w:hanging="359"/>
      </w:pPr>
      <w:r>
        <w:rPr>
          <w:sz w:val="20"/>
        </w:rPr>
        <w:t>Ref. 6-1: 2007-12 Technology Master Plan (</w:t>
      </w:r>
      <w:hyperlink r:id="rId48">
        <w:r>
          <w:rPr>
            <w:color w:val="1155CC"/>
            <w:sz w:val="20"/>
            <w:u w:val="single"/>
          </w:rPr>
          <w:t>http://www.glendale.edu/Modules/ShowDocument.aspx?documentid=5097</w:t>
        </w:r>
      </w:hyperlink>
      <w:r>
        <w:rPr>
          <w:sz w:val="20"/>
        </w:rPr>
        <w:t>)</w:t>
      </w:r>
    </w:p>
    <w:p w14:paraId="219C7B11" w14:textId="77777777" w:rsidR="000553D9" w:rsidRDefault="008D6059">
      <w:pPr>
        <w:pStyle w:val="Normal1"/>
        <w:numPr>
          <w:ilvl w:val="0"/>
          <w:numId w:val="4"/>
        </w:numPr>
        <w:ind w:hanging="359"/>
      </w:pPr>
      <w:r>
        <w:rPr>
          <w:sz w:val="20"/>
        </w:rPr>
        <w:t>Ref. 6-2: Integrated Planning Model Flow Chart (</w:t>
      </w:r>
      <w:hyperlink r:id="rId49">
        <w:r>
          <w:rPr>
            <w:color w:val="1155CC"/>
            <w:sz w:val="20"/>
            <w:u w:val="single"/>
          </w:rPr>
          <w:t>http://www.glendale.edu/Modules/ShowDocument.aspx?documentid=14087</w:t>
        </w:r>
      </w:hyperlink>
      <w:r>
        <w:rPr>
          <w:sz w:val="20"/>
        </w:rPr>
        <w:t>)</w:t>
      </w:r>
    </w:p>
    <w:p w14:paraId="0B29F8B2" w14:textId="77777777" w:rsidR="000553D9" w:rsidRDefault="008D6059">
      <w:pPr>
        <w:pStyle w:val="Normal1"/>
        <w:numPr>
          <w:ilvl w:val="0"/>
          <w:numId w:val="4"/>
        </w:numPr>
        <w:ind w:hanging="359"/>
      </w:pPr>
      <w:r>
        <w:rPr>
          <w:sz w:val="20"/>
        </w:rPr>
        <w:t>Ref. 6-3: ITS Program Review (</w:t>
      </w:r>
      <w:hyperlink r:id="rId50">
        <w:r>
          <w:rPr>
            <w:color w:val="1155CC"/>
            <w:sz w:val="20"/>
            <w:u w:val="single"/>
          </w:rPr>
          <w:t>http://www.glendale.edu/Modules/ShowDocument.aspx?documentid=15438</w:t>
        </w:r>
      </w:hyperlink>
      <w:r>
        <w:rPr>
          <w:sz w:val="20"/>
        </w:rPr>
        <w:t>)</w:t>
      </w:r>
    </w:p>
    <w:p w14:paraId="1966A659" w14:textId="77777777" w:rsidR="000553D9" w:rsidRDefault="000553D9">
      <w:pPr>
        <w:pStyle w:val="Normal1"/>
      </w:pPr>
    </w:p>
    <w:p w14:paraId="12085809" w14:textId="77777777" w:rsidR="000553D9" w:rsidRDefault="000553D9">
      <w:pPr>
        <w:pStyle w:val="Normal1"/>
      </w:pPr>
    </w:p>
    <w:p w14:paraId="6526117B" w14:textId="77777777" w:rsidR="000553D9" w:rsidRDefault="008D6059">
      <w:pPr>
        <w:pStyle w:val="Normal1"/>
      </w:pPr>
      <w:r>
        <w:rPr>
          <w:b/>
          <w:sz w:val="20"/>
        </w:rPr>
        <w:t>Recommendation 7</w:t>
      </w:r>
    </w:p>
    <w:p w14:paraId="00798F14" w14:textId="77777777" w:rsidR="000553D9" w:rsidRDefault="000553D9">
      <w:pPr>
        <w:pStyle w:val="Normal1"/>
      </w:pPr>
    </w:p>
    <w:p w14:paraId="1973D8C7" w14:textId="77777777" w:rsidR="008122AA" w:rsidRDefault="008D6059" w:rsidP="008122AA">
      <w:pPr>
        <w:pStyle w:val="Normal1"/>
        <w:numPr>
          <w:ilvl w:val="0"/>
          <w:numId w:val="2"/>
        </w:numPr>
        <w:ind w:hanging="359"/>
      </w:pPr>
      <w:r>
        <w:rPr>
          <w:sz w:val="20"/>
        </w:rPr>
        <w:t>Ref. 7-1: Classified Hiring Allocation Committee (CHAC) process (</w:t>
      </w:r>
      <w:hyperlink r:id="rId51">
        <w:r>
          <w:rPr>
            <w:color w:val="1155CC"/>
            <w:sz w:val="20"/>
            <w:u w:val="single"/>
          </w:rPr>
          <w:t>http://www.glendale.edu/modules/showdocument.aspx?documentid=17506</w:t>
        </w:r>
      </w:hyperlink>
      <w:r>
        <w:rPr>
          <w:sz w:val="20"/>
        </w:rPr>
        <w:t>)</w:t>
      </w:r>
    </w:p>
    <w:p w14:paraId="11BACDCE" w14:textId="3ADA2D21" w:rsidR="000553D9" w:rsidRDefault="008D6059" w:rsidP="008C01B0">
      <w:pPr>
        <w:pStyle w:val="Normal1"/>
        <w:numPr>
          <w:ilvl w:val="0"/>
          <w:numId w:val="2"/>
        </w:numPr>
        <w:ind w:hanging="359"/>
      </w:pPr>
      <w:r w:rsidRPr="008122AA">
        <w:rPr>
          <w:sz w:val="20"/>
        </w:rPr>
        <w:t>Ref. 7-2</w:t>
      </w:r>
      <w:r w:rsidR="008C01B0">
        <w:rPr>
          <w:sz w:val="20"/>
        </w:rPr>
        <w:t xml:space="preserve"> (a)</w:t>
      </w:r>
      <w:r w:rsidRPr="008122AA">
        <w:rPr>
          <w:sz w:val="20"/>
        </w:rPr>
        <w:t xml:space="preserve">: College </w:t>
      </w:r>
      <w:r w:rsidR="008C01B0">
        <w:rPr>
          <w:sz w:val="20"/>
        </w:rPr>
        <w:t>Emergency Operation P</w:t>
      </w:r>
      <w:r w:rsidRPr="008122AA">
        <w:rPr>
          <w:sz w:val="20"/>
        </w:rPr>
        <w:t>lan</w:t>
      </w:r>
      <w:r w:rsidR="008122AA" w:rsidRPr="008122AA">
        <w:rPr>
          <w:sz w:val="20"/>
        </w:rPr>
        <w:br/>
      </w:r>
      <w:r w:rsidR="008122AA">
        <w:rPr>
          <w:sz w:val="20"/>
          <w:szCs w:val="20"/>
        </w:rPr>
        <w:t>(</w:t>
      </w:r>
      <w:hyperlink r:id="rId52" w:history="1">
        <w:r w:rsidR="008122AA" w:rsidRPr="0016087C">
          <w:rPr>
            <w:rStyle w:val="Hyperlink"/>
            <w:sz w:val="20"/>
            <w:szCs w:val="20"/>
          </w:rPr>
          <w:t>http://www.glendale.edu/modules/showdocument.aspx?documentid=</w:t>
        </w:r>
        <w:r w:rsidR="0016087C" w:rsidRPr="0016087C">
          <w:rPr>
            <w:rStyle w:val="Hyperlink"/>
            <w:sz w:val="20"/>
            <w:szCs w:val="20"/>
          </w:rPr>
          <w:t>17726</w:t>
        </w:r>
      </w:hyperlink>
      <w:r w:rsidR="008122AA">
        <w:rPr>
          <w:sz w:val="20"/>
          <w:szCs w:val="20"/>
        </w:rPr>
        <w:t>)</w:t>
      </w:r>
      <w:r w:rsidR="008C01B0">
        <w:rPr>
          <w:sz w:val="20"/>
          <w:szCs w:val="20"/>
        </w:rPr>
        <w:br/>
      </w:r>
      <w:r w:rsidR="008C01B0" w:rsidRPr="008122AA">
        <w:rPr>
          <w:sz w:val="20"/>
        </w:rPr>
        <w:t>Ref. 7-2</w:t>
      </w:r>
      <w:r w:rsidR="008C01B0">
        <w:rPr>
          <w:sz w:val="20"/>
        </w:rPr>
        <w:t xml:space="preserve"> (b)</w:t>
      </w:r>
      <w:r w:rsidR="008C01B0" w:rsidRPr="008122AA">
        <w:rPr>
          <w:sz w:val="20"/>
        </w:rPr>
        <w:t xml:space="preserve">: </w:t>
      </w:r>
      <w:r w:rsidR="00D41F47">
        <w:rPr>
          <w:sz w:val="20"/>
        </w:rPr>
        <w:t xml:space="preserve">College </w:t>
      </w:r>
      <w:r w:rsidR="008C01B0">
        <w:rPr>
          <w:sz w:val="20"/>
        </w:rPr>
        <w:t>Emergency Operation Plan-Updated Roster</w:t>
      </w:r>
      <w:r w:rsidR="008C01B0" w:rsidRPr="008122AA">
        <w:rPr>
          <w:sz w:val="20"/>
        </w:rPr>
        <w:br/>
      </w:r>
      <w:r w:rsidR="008C01B0">
        <w:rPr>
          <w:sz w:val="20"/>
          <w:szCs w:val="20"/>
        </w:rPr>
        <w:t>(</w:t>
      </w:r>
      <w:hyperlink r:id="rId53" w:history="1">
        <w:r w:rsidR="008C01B0" w:rsidRPr="0016087C">
          <w:rPr>
            <w:rStyle w:val="Hyperlink"/>
            <w:sz w:val="20"/>
            <w:szCs w:val="20"/>
          </w:rPr>
          <w:t>http://www.glendale.edu/modules/showdocument.aspx?documentid=</w:t>
        </w:r>
        <w:r w:rsidR="0016087C" w:rsidRPr="0016087C">
          <w:rPr>
            <w:rStyle w:val="Hyperlink"/>
            <w:sz w:val="20"/>
            <w:szCs w:val="20"/>
          </w:rPr>
          <w:t>17727</w:t>
        </w:r>
      </w:hyperlink>
      <w:r w:rsidR="008C01B0">
        <w:rPr>
          <w:sz w:val="20"/>
          <w:szCs w:val="20"/>
        </w:rPr>
        <w:t>)</w:t>
      </w:r>
    </w:p>
    <w:p w14:paraId="3F7C926D" w14:textId="1BB2E33D" w:rsidR="000553D9" w:rsidRPr="008122AA" w:rsidRDefault="008D6059" w:rsidP="008122AA">
      <w:pPr>
        <w:pStyle w:val="Normal1"/>
        <w:numPr>
          <w:ilvl w:val="0"/>
          <w:numId w:val="2"/>
        </w:numPr>
        <w:ind w:hanging="359"/>
      </w:pPr>
      <w:r>
        <w:rPr>
          <w:sz w:val="20"/>
        </w:rPr>
        <w:t>Ref. 7-3: Arrangement with Glendale Police Department for coverage</w:t>
      </w:r>
      <w:r w:rsidR="008122AA">
        <w:br/>
      </w:r>
      <w:r w:rsidR="008122AA" w:rsidRPr="008122AA">
        <w:rPr>
          <w:sz w:val="20"/>
          <w:szCs w:val="20"/>
        </w:rPr>
        <w:t>(</w:t>
      </w:r>
      <w:hyperlink r:id="rId54" w:history="1">
        <w:r w:rsidR="008122AA" w:rsidRPr="00B3329C">
          <w:rPr>
            <w:rStyle w:val="Hyperlink"/>
            <w:sz w:val="20"/>
            <w:szCs w:val="20"/>
          </w:rPr>
          <w:t>http://www.glendale.edu/modules/showdocument.aspx?documentid=17702</w:t>
        </w:r>
      </w:hyperlink>
      <w:r w:rsidR="008122AA">
        <w:rPr>
          <w:sz w:val="20"/>
          <w:szCs w:val="20"/>
        </w:rPr>
        <w:t xml:space="preserve"> </w:t>
      </w:r>
      <w:r w:rsidR="008122AA" w:rsidRPr="008122AA">
        <w:rPr>
          <w:sz w:val="20"/>
          <w:szCs w:val="20"/>
        </w:rPr>
        <w:t>)</w:t>
      </w:r>
    </w:p>
    <w:p w14:paraId="262AB359" w14:textId="32C73F8C" w:rsidR="008122AA" w:rsidRPr="008122AA" w:rsidRDefault="00D41F47" w:rsidP="008122AA">
      <w:pPr>
        <w:pStyle w:val="Normal1"/>
        <w:ind w:left="720"/>
      </w:pPr>
      <w:r>
        <w:br/>
      </w:r>
    </w:p>
    <w:p w14:paraId="290A4607" w14:textId="77777777" w:rsidR="000553D9" w:rsidRDefault="008D6059">
      <w:pPr>
        <w:pStyle w:val="Normal1"/>
      </w:pPr>
      <w:r>
        <w:rPr>
          <w:b/>
          <w:sz w:val="20"/>
        </w:rPr>
        <w:t>Recommendation 8</w:t>
      </w:r>
    </w:p>
    <w:p w14:paraId="0A2D39A3" w14:textId="77777777" w:rsidR="000553D9" w:rsidRDefault="000553D9">
      <w:pPr>
        <w:pStyle w:val="Normal1"/>
      </w:pPr>
    </w:p>
    <w:p w14:paraId="0408D372" w14:textId="16736A9E" w:rsidR="000553D9" w:rsidRPr="0060459A" w:rsidRDefault="008D6059">
      <w:pPr>
        <w:pStyle w:val="Normal1"/>
        <w:numPr>
          <w:ilvl w:val="0"/>
          <w:numId w:val="8"/>
        </w:numPr>
        <w:ind w:hanging="359"/>
      </w:pPr>
      <w:r>
        <w:rPr>
          <w:sz w:val="20"/>
        </w:rPr>
        <w:t xml:space="preserve">Ref. 8-1: October 17, 2011 </w:t>
      </w:r>
      <w:r w:rsidR="0060459A">
        <w:rPr>
          <w:sz w:val="20"/>
        </w:rPr>
        <w:t>B</w:t>
      </w:r>
      <w:r>
        <w:rPr>
          <w:sz w:val="20"/>
        </w:rPr>
        <w:t>oard report approving the reallocation of Measure G funds for the Server Room project</w:t>
      </w:r>
      <w:r w:rsidR="00C65218">
        <w:rPr>
          <w:sz w:val="20"/>
        </w:rPr>
        <w:t>.  (See New Business Report No. 2 on pages 5 and 6)</w:t>
      </w:r>
      <w:r>
        <w:rPr>
          <w:sz w:val="20"/>
        </w:rPr>
        <w:t xml:space="preserve"> (</w:t>
      </w:r>
      <w:hyperlink r:id="rId55">
        <w:r>
          <w:rPr>
            <w:color w:val="1155CC"/>
            <w:sz w:val="20"/>
            <w:u w:val="single"/>
          </w:rPr>
          <w:t>http://www.glendale.edu/modules/ShowDocument.aspx?documentid=12988</w:t>
        </w:r>
      </w:hyperlink>
      <w:r>
        <w:rPr>
          <w:sz w:val="20"/>
        </w:rPr>
        <w:t>)</w:t>
      </w:r>
    </w:p>
    <w:p w14:paraId="3C777378" w14:textId="5C88B950" w:rsidR="0060459A" w:rsidRDefault="008D6059" w:rsidP="0060459A">
      <w:pPr>
        <w:pStyle w:val="Normal1"/>
        <w:numPr>
          <w:ilvl w:val="0"/>
          <w:numId w:val="8"/>
        </w:numPr>
        <w:ind w:hanging="359"/>
      </w:pPr>
      <w:r w:rsidRPr="0060459A">
        <w:rPr>
          <w:sz w:val="20"/>
        </w:rPr>
        <w:t>Ref. 8-2: ITS proposal for resolving server room issues</w:t>
      </w:r>
      <w:r w:rsidR="00EB4B49" w:rsidRPr="0060459A">
        <w:rPr>
          <w:sz w:val="20"/>
        </w:rPr>
        <w:t xml:space="preserve"> – October 17, 2011</w:t>
      </w:r>
      <w:r w:rsidR="0060459A">
        <w:rPr>
          <w:sz w:val="20"/>
        </w:rPr>
        <w:t xml:space="preserve"> Board report </w:t>
      </w:r>
      <w:r w:rsidR="0076426F" w:rsidRPr="0060459A">
        <w:rPr>
          <w:sz w:val="20"/>
        </w:rPr>
        <w:br/>
      </w:r>
      <w:r w:rsidR="0060459A" w:rsidRPr="0060459A">
        <w:rPr>
          <w:sz w:val="20"/>
          <w:szCs w:val="20"/>
        </w:rPr>
        <w:t>(</w:t>
      </w:r>
      <w:hyperlink r:id="rId56" w:history="1">
        <w:r w:rsidR="0078600B" w:rsidRPr="00D16FB4">
          <w:rPr>
            <w:rStyle w:val="Hyperlink"/>
            <w:sz w:val="20"/>
            <w:szCs w:val="20"/>
          </w:rPr>
          <w:t>http://www.glendale.edu/modules/ShowDocument.aspx?documentid=</w:t>
        </w:r>
        <w:r w:rsidR="00D16FB4" w:rsidRPr="00D16FB4">
          <w:rPr>
            <w:rStyle w:val="Hyperlink"/>
            <w:sz w:val="20"/>
            <w:szCs w:val="20"/>
          </w:rPr>
          <w:t>17746</w:t>
        </w:r>
      </w:hyperlink>
      <w:r w:rsidR="0060459A" w:rsidRPr="0060459A">
        <w:rPr>
          <w:sz w:val="20"/>
          <w:szCs w:val="20"/>
        </w:rPr>
        <w:t>)</w:t>
      </w:r>
    </w:p>
    <w:p w14:paraId="7E569920" w14:textId="18E30370" w:rsidR="000553D9" w:rsidRDefault="008D6059">
      <w:pPr>
        <w:pStyle w:val="Normal1"/>
        <w:numPr>
          <w:ilvl w:val="0"/>
          <w:numId w:val="8"/>
        </w:numPr>
        <w:ind w:hanging="359"/>
      </w:pPr>
      <w:r>
        <w:rPr>
          <w:sz w:val="20"/>
        </w:rPr>
        <w:t xml:space="preserve">Ref. 8-3: </w:t>
      </w:r>
      <w:proofErr w:type="spellStart"/>
      <w:r>
        <w:rPr>
          <w:sz w:val="20"/>
        </w:rPr>
        <w:t>Wildan</w:t>
      </w:r>
      <w:proofErr w:type="spellEnd"/>
      <w:r>
        <w:rPr>
          <w:sz w:val="20"/>
        </w:rPr>
        <w:t xml:space="preserve"> Energy Solutions </w:t>
      </w:r>
      <w:proofErr w:type="gramStart"/>
      <w:r>
        <w:rPr>
          <w:sz w:val="20"/>
        </w:rPr>
        <w:t>Audit</w:t>
      </w:r>
      <w:proofErr w:type="gramEnd"/>
      <w:r w:rsidR="0076426F">
        <w:rPr>
          <w:sz w:val="20"/>
        </w:rPr>
        <w:br/>
        <w:t>(</w:t>
      </w:r>
      <w:r w:rsidR="0076426F" w:rsidRPr="0076426F">
        <w:rPr>
          <w:color w:val="1155CC"/>
          <w:sz w:val="20"/>
          <w:u w:val="single"/>
        </w:rPr>
        <w:t>http://www.glendale.edu/Modules/ShowDocument.aspx?</w:t>
      </w:r>
      <w:hyperlink r:id="rId57" w:history="1">
        <w:r w:rsidR="0076426F" w:rsidRPr="00D16FB4">
          <w:rPr>
            <w:rStyle w:val="Hyperlink"/>
            <w:sz w:val="20"/>
          </w:rPr>
          <w:t>documentid</w:t>
        </w:r>
      </w:hyperlink>
      <w:r w:rsidR="0076426F">
        <w:rPr>
          <w:color w:val="1155CC"/>
          <w:sz w:val="20"/>
          <w:u w:val="single"/>
        </w:rPr>
        <w:t>=</w:t>
      </w:r>
      <w:r w:rsidR="00D16FB4">
        <w:rPr>
          <w:color w:val="1155CC"/>
          <w:sz w:val="20"/>
          <w:u w:val="single"/>
        </w:rPr>
        <w:t>17747</w:t>
      </w:r>
      <w:r w:rsidR="0076426F">
        <w:rPr>
          <w:sz w:val="20"/>
        </w:rPr>
        <w:t>)</w:t>
      </w:r>
    </w:p>
    <w:p w14:paraId="5B3D49F9" w14:textId="5A40AD0A" w:rsidR="000553D9" w:rsidRDefault="008D6059">
      <w:pPr>
        <w:pStyle w:val="Normal1"/>
        <w:numPr>
          <w:ilvl w:val="0"/>
          <w:numId w:val="8"/>
        </w:numPr>
        <w:ind w:hanging="359"/>
      </w:pPr>
      <w:r>
        <w:rPr>
          <w:sz w:val="20"/>
        </w:rPr>
        <w:t xml:space="preserve">Ref. 8-4: September 10, 2012 </w:t>
      </w:r>
      <w:r w:rsidR="0060459A">
        <w:rPr>
          <w:sz w:val="20"/>
        </w:rPr>
        <w:t>B</w:t>
      </w:r>
      <w:r>
        <w:rPr>
          <w:sz w:val="20"/>
        </w:rPr>
        <w:t>oard report approving the Server Room project as an energy conservation measure pursuant to Government Code 4217</w:t>
      </w:r>
      <w:r w:rsidR="00C65218">
        <w:rPr>
          <w:sz w:val="20"/>
        </w:rPr>
        <w:t>.</w:t>
      </w:r>
      <w:r w:rsidR="0060459A">
        <w:rPr>
          <w:sz w:val="20"/>
        </w:rPr>
        <w:t xml:space="preserve"> </w:t>
      </w:r>
      <w:r w:rsidR="00C65218">
        <w:rPr>
          <w:sz w:val="20"/>
        </w:rPr>
        <w:t>(See page 5 top)</w:t>
      </w:r>
      <w:r>
        <w:rPr>
          <w:sz w:val="20"/>
        </w:rPr>
        <w:t xml:space="preserve"> (</w:t>
      </w:r>
      <w:hyperlink r:id="rId58">
        <w:r>
          <w:rPr>
            <w:color w:val="1155CC"/>
            <w:sz w:val="20"/>
            <w:u w:val="single"/>
          </w:rPr>
          <w:t>http://www.glendale.edu/Modules/ShowDocument.aspx?documentid=16263</w:t>
        </w:r>
      </w:hyperlink>
      <w:r>
        <w:rPr>
          <w:sz w:val="20"/>
        </w:rPr>
        <w:t>)</w:t>
      </w:r>
    </w:p>
    <w:p w14:paraId="594BBE48" w14:textId="77777777" w:rsidR="000553D9" w:rsidRDefault="000553D9">
      <w:pPr>
        <w:pStyle w:val="Normal1"/>
      </w:pPr>
    </w:p>
    <w:p w14:paraId="49CFAE6A" w14:textId="77777777" w:rsidR="000553D9" w:rsidRDefault="000553D9">
      <w:pPr>
        <w:pStyle w:val="Normal1"/>
      </w:pPr>
    </w:p>
    <w:p w14:paraId="3F6305AE" w14:textId="77777777" w:rsidR="000553D9" w:rsidRDefault="008D6059">
      <w:pPr>
        <w:pStyle w:val="Normal1"/>
      </w:pPr>
      <w:r>
        <w:rPr>
          <w:b/>
          <w:sz w:val="20"/>
        </w:rPr>
        <w:t>Recommendation 9</w:t>
      </w:r>
    </w:p>
    <w:p w14:paraId="54DDB0A3" w14:textId="77777777" w:rsidR="000553D9" w:rsidRDefault="000553D9">
      <w:pPr>
        <w:pStyle w:val="Normal1"/>
      </w:pPr>
    </w:p>
    <w:p w14:paraId="57CE418B" w14:textId="0DE7EF5B" w:rsidR="000553D9" w:rsidRDefault="008D6059" w:rsidP="0076426F">
      <w:pPr>
        <w:pStyle w:val="Normal1"/>
        <w:numPr>
          <w:ilvl w:val="0"/>
          <w:numId w:val="8"/>
        </w:numPr>
        <w:ind w:hanging="359"/>
      </w:pPr>
      <w:r>
        <w:rPr>
          <w:sz w:val="20"/>
        </w:rPr>
        <w:t xml:space="preserve">Ref. 9-1: </w:t>
      </w:r>
      <w:r w:rsidR="004E089F">
        <w:rPr>
          <w:sz w:val="20"/>
        </w:rPr>
        <w:t>Audit</w:t>
      </w:r>
      <w:r>
        <w:rPr>
          <w:sz w:val="20"/>
        </w:rPr>
        <w:t xml:space="preserve"> extract</w:t>
      </w:r>
      <w:r w:rsidR="004E089F">
        <w:rPr>
          <w:sz w:val="20"/>
        </w:rPr>
        <w:t xml:space="preserve"> from 2011-2012 on GASB funding.</w:t>
      </w:r>
      <w:r w:rsidR="0076426F">
        <w:rPr>
          <w:sz w:val="20"/>
        </w:rPr>
        <w:br/>
        <w:t>(</w:t>
      </w:r>
      <w:hyperlink r:id="rId59" w:history="1">
        <w:r w:rsidR="0076426F" w:rsidRPr="00D16FB4">
          <w:rPr>
            <w:rStyle w:val="Hyperlink"/>
            <w:sz w:val="20"/>
          </w:rPr>
          <w:t>http://www.glendale.edu/Modules/ShowDocument.aspx?documentid=</w:t>
        </w:r>
        <w:r w:rsidR="00D16FB4" w:rsidRPr="00D16FB4">
          <w:rPr>
            <w:rStyle w:val="Hyperlink"/>
            <w:sz w:val="20"/>
          </w:rPr>
          <w:t>17748</w:t>
        </w:r>
      </w:hyperlink>
      <w:r w:rsidR="0076426F">
        <w:rPr>
          <w:sz w:val="20"/>
        </w:rPr>
        <w:t>)</w:t>
      </w:r>
    </w:p>
    <w:p w14:paraId="1EB553A8" w14:textId="77777777" w:rsidR="000553D9" w:rsidRDefault="000553D9">
      <w:pPr>
        <w:pStyle w:val="Normal1"/>
      </w:pPr>
    </w:p>
    <w:p w14:paraId="3179B66B" w14:textId="77777777" w:rsidR="007C446E" w:rsidRDefault="007C446E">
      <w:pPr>
        <w:rPr>
          <w:rFonts w:ascii="Arial" w:eastAsia="Arial" w:hAnsi="Arial" w:cs="Arial"/>
          <w:b/>
          <w:color w:val="000000"/>
          <w:sz w:val="36"/>
        </w:rPr>
      </w:pPr>
      <w:r>
        <w:br w:type="page"/>
      </w:r>
    </w:p>
    <w:p w14:paraId="1AABB1BC" w14:textId="7658386D" w:rsidR="007C446E" w:rsidRDefault="007C446E" w:rsidP="007C446E">
      <w:pPr>
        <w:pStyle w:val="Heading3"/>
      </w:pPr>
      <w:r>
        <w:lastRenderedPageBreak/>
        <w:t>Response to Self-Identified Issues</w:t>
      </w:r>
    </w:p>
    <w:p w14:paraId="47CE30D2" w14:textId="77777777" w:rsidR="007C446E" w:rsidRDefault="007C446E" w:rsidP="007C446E">
      <w:pPr>
        <w:pStyle w:val="Normal1"/>
      </w:pPr>
    </w:p>
    <w:p w14:paraId="4C33B29E" w14:textId="1624ED10" w:rsidR="007C446E" w:rsidRDefault="007C446E" w:rsidP="007C446E">
      <w:pPr>
        <w:pStyle w:val="Normal1"/>
      </w:pPr>
      <w:r>
        <w:t xml:space="preserve">The College’s 2010 accreditation </w:t>
      </w:r>
      <w:proofErr w:type="spellStart"/>
      <w:r>
        <w:t>self study</w:t>
      </w:r>
      <w:proofErr w:type="spellEnd"/>
      <w:r>
        <w:t xml:space="preserve"> included 224 planning agenda items. Many items were repeated because they were appropriate to more than one sub-section of the Accreditation Sta</w:t>
      </w:r>
      <w:bookmarkStart w:id="24" w:name="_GoBack"/>
      <w:bookmarkEnd w:id="24"/>
      <w:r>
        <w:t xml:space="preserve">ndards. The document summarizes progress the College has made on each of the self-identified issues, including timelines for completion and responsible parties. </w:t>
      </w:r>
      <w:r w:rsidR="00CA3310">
        <w:t xml:space="preserve">Due to the size of the spreadsheet, it is </w:t>
      </w:r>
      <w:r>
        <w:t xml:space="preserve">provided in electronic format </w:t>
      </w:r>
      <w:r w:rsidR="00CA3310">
        <w:t xml:space="preserve">only </w:t>
      </w:r>
      <w:r>
        <w:t xml:space="preserve">on the flash drive </w:t>
      </w:r>
      <w:r w:rsidR="00CA3310">
        <w:t xml:space="preserve">included </w:t>
      </w:r>
      <w:r>
        <w:t>with the college’s submittal packet.</w:t>
      </w:r>
    </w:p>
    <w:p w14:paraId="2D57058F" w14:textId="77777777" w:rsidR="000553D9" w:rsidRDefault="000553D9">
      <w:pPr>
        <w:pStyle w:val="Normal1"/>
      </w:pPr>
    </w:p>
    <w:sectPr w:rsidR="000553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AC410" w14:textId="77777777" w:rsidR="005C06E4" w:rsidRDefault="005C06E4">
      <w:r>
        <w:separator/>
      </w:r>
    </w:p>
  </w:endnote>
  <w:endnote w:type="continuationSeparator" w:id="0">
    <w:p w14:paraId="2B4FB3FA" w14:textId="77777777" w:rsidR="005C06E4" w:rsidRDefault="005C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9EF18" w14:textId="77777777" w:rsidR="00CA3310" w:rsidRDefault="00CA3310">
    <w:pPr>
      <w:pStyle w:val="Normal1"/>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7C929" w14:textId="77777777" w:rsidR="00CA3310" w:rsidRDefault="00CA3310" w:rsidP="00EF0A30">
    <w:pPr>
      <w:pStyle w:val="Normal1"/>
      <w:spacing w:line="240" w:lineRule="auto"/>
      <w:jc w:val="center"/>
    </w:pPr>
    <w:r>
      <w:fldChar w:fldCharType="begin"/>
    </w:r>
    <w:r>
      <w:instrText>PAGE</w:instrText>
    </w:r>
    <w:r>
      <w:fldChar w:fldCharType="separate"/>
    </w:r>
    <w:r w:rsidR="007F5920">
      <w:rPr>
        <w:noProof/>
      </w:rPr>
      <w:t>41</w:t>
    </w:r>
    <w:r>
      <w:fldChar w:fldCharType="end"/>
    </w:r>
  </w:p>
  <w:p w14:paraId="4FECECCE" w14:textId="77777777" w:rsidR="00CA3310" w:rsidRDefault="00CA3310">
    <w:pPr>
      <w:pStyle w:val="Normal1"/>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57399" w14:textId="77777777" w:rsidR="005C06E4" w:rsidRDefault="005C06E4">
      <w:r>
        <w:separator/>
      </w:r>
    </w:p>
  </w:footnote>
  <w:footnote w:type="continuationSeparator" w:id="0">
    <w:p w14:paraId="5E11154C" w14:textId="77777777" w:rsidR="005C06E4" w:rsidRDefault="005C0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E0E"/>
    <w:multiLevelType w:val="multilevel"/>
    <w:tmpl w:val="06CC02F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17BF3A3D"/>
    <w:multiLevelType w:val="hybridMultilevel"/>
    <w:tmpl w:val="ECC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25146"/>
    <w:multiLevelType w:val="multilevel"/>
    <w:tmpl w:val="6AB62F5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2ADF6421"/>
    <w:multiLevelType w:val="multilevel"/>
    <w:tmpl w:val="16B8EB90"/>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
    <w:nsid w:val="2CFF7750"/>
    <w:multiLevelType w:val="multilevel"/>
    <w:tmpl w:val="38847BB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5">
    <w:nsid w:val="32AF16D1"/>
    <w:multiLevelType w:val="multilevel"/>
    <w:tmpl w:val="1C7AF25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6">
    <w:nsid w:val="3C1C2F98"/>
    <w:multiLevelType w:val="multilevel"/>
    <w:tmpl w:val="2990BC72"/>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7">
    <w:nsid w:val="464F06BA"/>
    <w:multiLevelType w:val="multilevel"/>
    <w:tmpl w:val="84B6E14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8">
    <w:nsid w:val="4ACE79BE"/>
    <w:multiLevelType w:val="multilevel"/>
    <w:tmpl w:val="889C2842"/>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9">
    <w:nsid w:val="5662437A"/>
    <w:multiLevelType w:val="hybridMultilevel"/>
    <w:tmpl w:val="D804A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6310E3"/>
    <w:multiLevelType w:val="multilevel"/>
    <w:tmpl w:val="F8B011E2"/>
    <w:lvl w:ilvl="0">
      <w:start w:val="1"/>
      <w:numFmt w:val="lowerLetter"/>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5C1E2AB6"/>
    <w:multiLevelType w:val="multilevel"/>
    <w:tmpl w:val="8E4C881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2">
    <w:nsid w:val="740E7E94"/>
    <w:multiLevelType w:val="multilevel"/>
    <w:tmpl w:val="9EFEF3F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3">
    <w:nsid w:val="759520EE"/>
    <w:multiLevelType w:val="multilevel"/>
    <w:tmpl w:val="E3023F0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2"/>
  </w:num>
  <w:num w:numId="2">
    <w:abstractNumId w:val="8"/>
  </w:num>
  <w:num w:numId="3">
    <w:abstractNumId w:val="12"/>
  </w:num>
  <w:num w:numId="4">
    <w:abstractNumId w:val="11"/>
  </w:num>
  <w:num w:numId="5">
    <w:abstractNumId w:val="5"/>
  </w:num>
  <w:num w:numId="6">
    <w:abstractNumId w:val="0"/>
  </w:num>
  <w:num w:numId="7">
    <w:abstractNumId w:val="3"/>
  </w:num>
  <w:num w:numId="8">
    <w:abstractNumId w:val="7"/>
  </w:num>
  <w:num w:numId="9">
    <w:abstractNumId w:val="10"/>
  </w:num>
  <w:num w:numId="10">
    <w:abstractNumId w:val="4"/>
  </w:num>
  <w:num w:numId="11">
    <w:abstractNumId w:val="6"/>
  </w:num>
  <w:num w:numId="12">
    <w:abstractNumId w:val="1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553D9"/>
    <w:rsid w:val="00041E5C"/>
    <w:rsid w:val="0004430E"/>
    <w:rsid w:val="000553D9"/>
    <w:rsid w:val="000664AF"/>
    <w:rsid w:val="00155F38"/>
    <w:rsid w:val="0016087C"/>
    <w:rsid w:val="0017655E"/>
    <w:rsid w:val="001F7331"/>
    <w:rsid w:val="00215291"/>
    <w:rsid w:val="00245D08"/>
    <w:rsid w:val="0026650E"/>
    <w:rsid w:val="00294B83"/>
    <w:rsid w:val="002C776D"/>
    <w:rsid w:val="003758FA"/>
    <w:rsid w:val="00403323"/>
    <w:rsid w:val="00445B6D"/>
    <w:rsid w:val="004848FC"/>
    <w:rsid w:val="004C2C41"/>
    <w:rsid w:val="004E089F"/>
    <w:rsid w:val="00540E28"/>
    <w:rsid w:val="005438C4"/>
    <w:rsid w:val="0057092D"/>
    <w:rsid w:val="005C06E4"/>
    <w:rsid w:val="005F6F1D"/>
    <w:rsid w:val="0060459A"/>
    <w:rsid w:val="00622F54"/>
    <w:rsid w:val="006271C9"/>
    <w:rsid w:val="006F1184"/>
    <w:rsid w:val="007034A5"/>
    <w:rsid w:val="00720B76"/>
    <w:rsid w:val="007556D1"/>
    <w:rsid w:val="0076426F"/>
    <w:rsid w:val="0078600B"/>
    <w:rsid w:val="007C446E"/>
    <w:rsid w:val="007F5920"/>
    <w:rsid w:val="008122AA"/>
    <w:rsid w:val="0085523C"/>
    <w:rsid w:val="00873777"/>
    <w:rsid w:val="008C01B0"/>
    <w:rsid w:val="008C383C"/>
    <w:rsid w:val="008D6059"/>
    <w:rsid w:val="008F0280"/>
    <w:rsid w:val="00944EFF"/>
    <w:rsid w:val="00956015"/>
    <w:rsid w:val="00984FBB"/>
    <w:rsid w:val="009910B8"/>
    <w:rsid w:val="009D2A49"/>
    <w:rsid w:val="009D3E51"/>
    <w:rsid w:val="009E746D"/>
    <w:rsid w:val="00A060E0"/>
    <w:rsid w:val="00A50318"/>
    <w:rsid w:val="00A721BC"/>
    <w:rsid w:val="00AB4F64"/>
    <w:rsid w:val="00AC6D36"/>
    <w:rsid w:val="00B1026C"/>
    <w:rsid w:val="00B15166"/>
    <w:rsid w:val="00BB3261"/>
    <w:rsid w:val="00BD34F7"/>
    <w:rsid w:val="00C51C07"/>
    <w:rsid w:val="00C65218"/>
    <w:rsid w:val="00CA3310"/>
    <w:rsid w:val="00D16FB4"/>
    <w:rsid w:val="00D41F47"/>
    <w:rsid w:val="00DB6CAB"/>
    <w:rsid w:val="00DC5A5C"/>
    <w:rsid w:val="00DD0132"/>
    <w:rsid w:val="00DD2BD1"/>
    <w:rsid w:val="00EB4B49"/>
    <w:rsid w:val="00EF0A30"/>
    <w:rsid w:val="00F3002E"/>
    <w:rsid w:val="00F45E81"/>
    <w:rsid w:val="00F767FA"/>
    <w:rsid w:val="00F8065C"/>
    <w:rsid w:val="00FB5324"/>
    <w:rsid w:val="00FD19E1"/>
    <w:rsid w:val="00FE4F5C"/>
    <w:rsid w:val="00FF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4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40" w:after="60"/>
      <w:outlineLvl w:val="0"/>
    </w:pPr>
    <w:rPr>
      <w:b/>
      <w:sz w:val="32"/>
    </w:rPr>
  </w:style>
  <w:style w:type="paragraph" w:styleId="Heading2">
    <w:name w:val="heading 2"/>
    <w:basedOn w:val="Normal1"/>
    <w:next w:val="Normal1"/>
    <w:pPr>
      <w:spacing w:before="240" w:after="60"/>
      <w:outlineLvl w:val="1"/>
    </w:pPr>
    <w:rPr>
      <w:b/>
      <w:i/>
      <w:sz w:val="28"/>
    </w:rPr>
  </w:style>
  <w:style w:type="paragraph" w:styleId="Heading3">
    <w:name w:val="heading 3"/>
    <w:basedOn w:val="Normal1"/>
    <w:next w:val="Normal1"/>
    <w:pPr>
      <w:spacing w:line="240" w:lineRule="auto"/>
      <w:jc w:val="center"/>
      <w:outlineLvl w:val="2"/>
    </w:pPr>
    <w:rPr>
      <w:b/>
      <w:sz w:val="36"/>
    </w:rPr>
  </w:style>
  <w:style w:type="paragraph" w:styleId="Heading4">
    <w:name w:val="heading 4"/>
    <w:basedOn w:val="Normal1"/>
    <w:next w:val="Normal1"/>
    <w:pPr>
      <w:spacing w:before="240" w:after="60"/>
      <w:jc w:val="center"/>
      <w:outlineLvl w:val="3"/>
    </w:pPr>
    <w:rPr>
      <w:b/>
      <w:sz w:val="28"/>
    </w:rPr>
  </w:style>
  <w:style w:type="paragraph" w:styleId="Heading5">
    <w:name w:val="heading 5"/>
    <w:basedOn w:val="Normal1"/>
    <w:next w:val="Normal1"/>
    <w:pPr>
      <w:spacing w:before="240" w:after="60"/>
      <w:outlineLvl w:val="4"/>
    </w:pPr>
    <w:rPr>
      <w:b/>
      <w:i/>
      <w:sz w:val="26"/>
    </w:rPr>
  </w:style>
  <w:style w:type="paragraph" w:styleId="Heading6">
    <w:name w:val="heading 6"/>
    <w:basedOn w:val="Normal1"/>
    <w:next w:val="Normal1"/>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240" w:after="60"/>
      <w:jc w:val="center"/>
    </w:pPr>
    <w:rPr>
      <w:b/>
      <w:sz w:val="32"/>
    </w:rPr>
  </w:style>
  <w:style w:type="paragraph" w:styleId="Subtitle">
    <w:name w:val="Subtitle"/>
    <w:basedOn w:val="Normal1"/>
    <w:next w:val="Normal1"/>
    <w:pPr>
      <w:spacing w:after="60"/>
      <w:jc w:val="cente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Header">
    <w:name w:val="header"/>
    <w:basedOn w:val="Normal"/>
    <w:link w:val="HeaderChar"/>
    <w:uiPriority w:val="99"/>
    <w:unhideWhenUsed/>
    <w:rsid w:val="00EF0A30"/>
    <w:pPr>
      <w:tabs>
        <w:tab w:val="center" w:pos="4320"/>
        <w:tab w:val="right" w:pos="8640"/>
      </w:tabs>
    </w:pPr>
  </w:style>
  <w:style w:type="character" w:customStyle="1" w:styleId="HeaderChar">
    <w:name w:val="Header Char"/>
    <w:basedOn w:val="DefaultParagraphFont"/>
    <w:link w:val="Header"/>
    <w:uiPriority w:val="99"/>
    <w:rsid w:val="00EF0A30"/>
  </w:style>
  <w:style w:type="paragraph" w:styleId="Footer">
    <w:name w:val="footer"/>
    <w:basedOn w:val="Normal"/>
    <w:link w:val="FooterChar"/>
    <w:uiPriority w:val="99"/>
    <w:unhideWhenUsed/>
    <w:rsid w:val="00EF0A30"/>
    <w:pPr>
      <w:tabs>
        <w:tab w:val="center" w:pos="4320"/>
        <w:tab w:val="right" w:pos="8640"/>
      </w:tabs>
    </w:pPr>
  </w:style>
  <w:style w:type="character" w:customStyle="1" w:styleId="FooterChar">
    <w:name w:val="Footer Char"/>
    <w:basedOn w:val="DefaultParagraphFont"/>
    <w:link w:val="Footer"/>
    <w:uiPriority w:val="99"/>
    <w:rsid w:val="00EF0A30"/>
  </w:style>
  <w:style w:type="paragraph" w:styleId="BalloonText">
    <w:name w:val="Balloon Text"/>
    <w:basedOn w:val="Normal"/>
    <w:link w:val="BalloonTextChar"/>
    <w:uiPriority w:val="99"/>
    <w:semiHidden/>
    <w:unhideWhenUsed/>
    <w:rsid w:val="008C383C"/>
    <w:rPr>
      <w:rFonts w:ascii="Tahoma" w:hAnsi="Tahoma" w:cs="Tahoma"/>
      <w:sz w:val="16"/>
      <w:szCs w:val="16"/>
    </w:rPr>
  </w:style>
  <w:style w:type="character" w:customStyle="1" w:styleId="BalloonTextChar">
    <w:name w:val="Balloon Text Char"/>
    <w:basedOn w:val="DefaultParagraphFont"/>
    <w:link w:val="BalloonText"/>
    <w:uiPriority w:val="99"/>
    <w:semiHidden/>
    <w:rsid w:val="008C383C"/>
    <w:rPr>
      <w:rFonts w:ascii="Tahoma" w:hAnsi="Tahoma" w:cs="Tahoma"/>
      <w:sz w:val="16"/>
      <w:szCs w:val="16"/>
    </w:rPr>
  </w:style>
  <w:style w:type="character" w:styleId="Hyperlink">
    <w:name w:val="Hyperlink"/>
    <w:basedOn w:val="DefaultParagraphFont"/>
    <w:uiPriority w:val="99"/>
    <w:unhideWhenUsed/>
    <w:rsid w:val="00DD2BD1"/>
    <w:rPr>
      <w:color w:val="0000FF" w:themeColor="hyperlink"/>
      <w:u w:val="single"/>
    </w:rPr>
  </w:style>
  <w:style w:type="character" w:styleId="FollowedHyperlink">
    <w:name w:val="FollowedHyperlink"/>
    <w:basedOn w:val="DefaultParagraphFont"/>
    <w:uiPriority w:val="99"/>
    <w:semiHidden/>
    <w:unhideWhenUsed/>
    <w:rsid w:val="00A50318"/>
    <w:rPr>
      <w:color w:val="800080" w:themeColor="followedHyperlink"/>
      <w:u w:val="single"/>
    </w:rPr>
  </w:style>
  <w:style w:type="paragraph" w:styleId="ListParagraph">
    <w:name w:val="List Paragraph"/>
    <w:basedOn w:val="Normal"/>
    <w:uiPriority w:val="34"/>
    <w:qFormat/>
    <w:rsid w:val="0076426F"/>
    <w:pPr>
      <w:ind w:left="720"/>
      <w:contextualSpacing/>
    </w:pPr>
  </w:style>
  <w:style w:type="paragraph" w:styleId="Revision">
    <w:name w:val="Revision"/>
    <w:hidden/>
    <w:uiPriority w:val="99"/>
    <w:semiHidden/>
    <w:rsid w:val="00A72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40" w:after="60"/>
      <w:outlineLvl w:val="0"/>
    </w:pPr>
    <w:rPr>
      <w:b/>
      <w:sz w:val="32"/>
    </w:rPr>
  </w:style>
  <w:style w:type="paragraph" w:styleId="Heading2">
    <w:name w:val="heading 2"/>
    <w:basedOn w:val="Normal1"/>
    <w:next w:val="Normal1"/>
    <w:pPr>
      <w:spacing w:before="240" w:after="60"/>
      <w:outlineLvl w:val="1"/>
    </w:pPr>
    <w:rPr>
      <w:b/>
      <w:i/>
      <w:sz w:val="28"/>
    </w:rPr>
  </w:style>
  <w:style w:type="paragraph" w:styleId="Heading3">
    <w:name w:val="heading 3"/>
    <w:basedOn w:val="Normal1"/>
    <w:next w:val="Normal1"/>
    <w:pPr>
      <w:spacing w:line="240" w:lineRule="auto"/>
      <w:jc w:val="center"/>
      <w:outlineLvl w:val="2"/>
    </w:pPr>
    <w:rPr>
      <w:b/>
      <w:sz w:val="36"/>
    </w:rPr>
  </w:style>
  <w:style w:type="paragraph" w:styleId="Heading4">
    <w:name w:val="heading 4"/>
    <w:basedOn w:val="Normal1"/>
    <w:next w:val="Normal1"/>
    <w:pPr>
      <w:spacing w:before="240" w:after="60"/>
      <w:jc w:val="center"/>
      <w:outlineLvl w:val="3"/>
    </w:pPr>
    <w:rPr>
      <w:b/>
      <w:sz w:val="28"/>
    </w:rPr>
  </w:style>
  <w:style w:type="paragraph" w:styleId="Heading5">
    <w:name w:val="heading 5"/>
    <w:basedOn w:val="Normal1"/>
    <w:next w:val="Normal1"/>
    <w:pPr>
      <w:spacing w:before="240" w:after="60"/>
      <w:outlineLvl w:val="4"/>
    </w:pPr>
    <w:rPr>
      <w:b/>
      <w:i/>
      <w:sz w:val="26"/>
    </w:rPr>
  </w:style>
  <w:style w:type="paragraph" w:styleId="Heading6">
    <w:name w:val="heading 6"/>
    <w:basedOn w:val="Normal1"/>
    <w:next w:val="Normal1"/>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240" w:after="60"/>
      <w:jc w:val="center"/>
    </w:pPr>
    <w:rPr>
      <w:b/>
      <w:sz w:val="32"/>
    </w:rPr>
  </w:style>
  <w:style w:type="paragraph" w:styleId="Subtitle">
    <w:name w:val="Subtitle"/>
    <w:basedOn w:val="Normal1"/>
    <w:next w:val="Normal1"/>
    <w:pPr>
      <w:spacing w:after="60"/>
      <w:jc w:val="cente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Header">
    <w:name w:val="header"/>
    <w:basedOn w:val="Normal"/>
    <w:link w:val="HeaderChar"/>
    <w:uiPriority w:val="99"/>
    <w:unhideWhenUsed/>
    <w:rsid w:val="00EF0A30"/>
    <w:pPr>
      <w:tabs>
        <w:tab w:val="center" w:pos="4320"/>
        <w:tab w:val="right" w:pos="8640"/>
      </w:tabs>
    </w:pPr>
  </w:style>
  <w:style w:type="character" w:customStyle="1" w:styleId="HeaderChar">
    <w:name w:val="Header Char"/>
    <w:basedOn w:val="DefaultParagraphFont"/>
    <w:link w:val="Header"/>
    <w:uiPriority w:val="99"/>
    <w:rsid w:val="00EF0A30"/>
  </w:style>
  <w:style w:type="paragraph" w:styleId="Footer">
    <w:name w:val="footer"/>
    <w:basedOn w:val="Normal"/>
    <w:link w:val="FooterChar"/>
    <w:uiPriority w:val="99"/>
    <w:unhideWhenUsed/>
    <w:rsid w:val="00EF0A30"/>
    <w:pPr>
      <w:tabs>
        <w:tab w:val="center" w:pos="4320"/>
        <w:tab w:val="right" w:pos="8640"/>
      </w:tabs>
    </w:pPr>
  </w:style>
  <w:style w:type="character" w:customStyle="1" w:styleId="FooterChar">
    <w:name w:val="Footer Char"/>
    <w:basedOn w:val="DefaultParagraphFont"/>
    <w:link w:val="Footer"/>
    <w:uiPriority w:val="99"/>
    <w:rsid w:val="00EF0A30"/>
  </w:style>
  <w:style w:type="paragraph" w:styleId="BalloonText">
    <w:name w:val="Balloon Text"/>
    <w:basedOn w:val="Normal"/>
    <w:link w:val="BalloonTextChar"/>
    <w:uiPriority w:val="99"/>
    <w:semiHidden/>
    <w:unhideWhenUsed/>
    <w:rsid w:val="008C383C"/>
    <w:rPr>
      <w:rFonts w:ascii="Tahoma" w:hAnsi="Tahoma" w:cs="Tahoma"/>
      <w:sz w:val="16"/>
      <w:szCs w:val="16"/>
    </w:rPr>
  </w:style>
  <w:style w:type="character" w:customStyle="1" w:styleId="BalloonTextChar">
    <w:name w:val="Balloon Text Char"/>
    <w:basedOn w:val="DefaultParagraphFont"/>
    <w:link w:val="BalloonText"/>
    <w:uiPriority w:val="99"/>
    <w:semiHidden/>
    <w:rsid w:val="008C383C"/>
    <w:rPr>
      <w:rFonts w:ascii="Tahoma" w:hAnsi="Tahoma" w:cs="Tahoma"/>
      <w:sz w:val="16"/>
      <w:szCs w:val="16"/>
    </w:rPr>
  </w:style>
  <w:style w:type="character" w:styleId="Hyperlink">
    <w:name w:val="Hyperlink"/>
    <w:basedOn w:val="DefaultParagraphFont"/>
    <w:uiPriority w:val="99"/>
    <w:unhideWhenUsed/>
    <w:rsid w:val="00DD2BD1"/>
    <w:rPr>
      <w:color w:val="0000FF" w:themeColor="hyperlink"/>
      <w:u w:val="single"/>
    </w:rPr>
  </w:style>
  <w:style w:type="character" w:styleId="FollowedHyperlink">
    <w:name w:val="FollowedHyperlink"/>
    <w:basedOn w:val="DefaultParagraphFont"/>
    <w:uiPriority w:val="99"/>
    <w:semiHidden/>
    <w:unhideWhenUsed/>
    <w:rsid w:val="00A50318"/>
    <w:rPr>
      <w:color w:val="800080" w:themeColor="followedHyperlink"/>
      <w:u w:val="single"/>
    </w:rPr>
  </w:style>
  <w:style w:type="paragraph" w:styleId="ListParagraph">
    <w:name w:val="List Paragraph"/>
    <w:basedOn w:val="Normal"/>
    <w:uiPriority w:val="34"/>
    <w:qFormat/>
    <w:rsid w:val="0076426F"/>
    <w:pPr>
      <w:ind w:left="720"/>
      <w:contextualSpacing/>
    </w:pPr>
  </w:style>
  <w:style w:type="paragraph" w:styleId="Revision">
    <w:name w:val="Revision"/>
    <w:hidden/>
    <w:uiPriority w:val="99"/>
    <w:semiHidden/>
    <w:rsid w:val="00A7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endale.edu/Modules/ShowDocument.aspx?documentid=16769" TargetMode="External"/><Relationship Id="rId18" Type="http://schemas.openxmlformats.org/officeDocument/2006/relationships/hyperlink" Target="http://www.glendale.edu/Modules/ShowDocument.aspx?documentid=16389" TargetMode="External"/><Relationship Id="rId26" Type="http://schemas.openxmlformats.org/officeDocument/2006/relationships/hyperlink" Target="http://www.glendale.edu/modules/showdocument.aspx?documentid=17691" TargetMode="External"/><Relationship Id="rId39" Type="http://schemas.openxmlformats.org/officeDocument/2006/relationships/hyperlink" Target="http://www.glendale.edu/modules/showdocument.aspx?documentid=17721" TargetMode="External"/><Relationship Id="rId21" Type="http://schemas.openxmlformats.org/officeDocument/2006/relationships/hyperlink" Target="http://www.glendale.edu/index.aspx?page=4485" TargetMode="External"/><Relationship Id="rId34" Type="http://schemas.openxmlformats.org/officeDocument/2006/relationships/hyperlink" Target="http://www.glendale.edu/Modules/ShowDocument.aspx?documentid=14978" TargetMode="External"/><Relationship Id="rId42" Type="http://schemas.openxmlformats.org/officeDocument/2006/relationships/hyperlink" Target="http://www.glendale.edu/modules/showdocument.aspx?documentid=17723" TargetMode="External"/><Relationship Id="rId47" Type="http://schemas.openxmlformats.org/officeDocument/2006/relationships/hyperlink" Target="http://www.glendale.edu/Modules/ShowDocument.aspx?documentid=9437" TargetMode="External"/><Relationship Id="rId50" Type="http://schemas.openxmlformats.org/officeDocument/2006/relationships/hyperlink" Target="http://www.glendale.edu/Modules/ShowDocument.aspx?documentid=15438" TargetMode="External"/><Relationship Id="rId55" Type="http://schemas.openxmlformats.org/officeDocument/2006/relationships/hyperlink" Target="http://www.glendale.edu/modules/ShowDocument.aspx?documentid=12988"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lendale.edu/Modules/ShowDocument.aspx?documentid=16388" TargetMode="External"/><Relationship Id="rId20" Type="http://schemas.openxmlformats.org/officeDocument/2006/relationships/hyperlink" Target="http://www.glendale.edu/index.aspx?page=4485" TargetMode="External"/><Relationship Id="rId29" Type="http://schemas.openxmlformats.org/officeDocument/2006/relationships/hyperlink" Target="http://www.glendale.edu/Modules/ShowDocument.aspx?documentid=8080" TargetMode="External"/><Relationship Id="rId41" Type="http://schemas.openxmlformats.org/officeDocument/2006/relationships/hyperlink" Target="http://www.glendale.edu/modules/showdocument.aspx?documentid=17724" TargetMode="External"/><Relationship Id="rId54" Type="http://schemas.openxmlformats.org/officeDocument/2006/relationships/hyperlink" Target="http://www.glendale.edu/modules/showdocument.aspx?documentid=177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glendale.edu/Modules/ShowDocument.aspx?documentid=15885" TargetMode="External"/><Relationship Id="rId32" Type="http://schemas.openxmlformats.org/officeDocument/2006/relationships/hyperlink" Target="http://www.glendale.edu/Modules/ShowDocument.aspx?documentid=17719" TargetMode="External"/><Relationship Id="rId37" Type="http://schemas.openxmlformats.org/officeDocument/2006/relationships/hyperlink" Target="http://secure.glendale.edu/schedules_ps/" TargetMode="External"/><Relationship Id="rId40" Type="http://schemas.openxmlformats.org/officeDocument/2006/relationships/hyperlink" Target="http://www.glendale.edu/modules/showdocument.aspx?documentid=17722" TargetMode="External"/><Relationship Id="rId45" Type="http://schemas.openxmlformats.org/officeDocument/2006/relationships/hyperlink" Target="http://www.glendale.edu/Modules/ShowDocument.aspx?documentid=15885" TargetMode="External"/><Relationship Id="rId53" Type="http://schemas.openxmlformats.org/officeDocument/2006/relationships/hyperlink" Target="http://www.glendale.edu/modules/showdocument.aspx?documentid=17727" TargetMode="External"/><Relationship Id="rId58" Type="http://schemas.openxmlformats.org/officeDocument/2006/relationships/hyperlink" Target="http://www.glendale.edu/Modules/ShowDocument.aspx?documentid=16263" TargetMode="External"/><Relationship Id="rId5" Type="http://schemas.openxmlformats.org/officeDocument/2006/relationships/webSettings" Target="webSettings.xml"/><Relationship Id="rId15" Type="http://schemas.openxmlformats.org/officeDocument/2006/relationships/hyperlink" Target="http://www.glendale.edu/index.aspx?page=4487" TargetMode="External"/><Relationship Id="rId23" Type="http://schemas.openxmlformats.org/officeDocument/2006/relationships/hyperlink" Target="http://www.glendale.edu/Modules/ShowDocument.aspx?documentid=12169" TargetMode="External"/><Relationship Id="rId28" Type="http://schemas.openxmlformats.org/officeDocument/2006/relationships/hyperlink" Target="http://www.glendale.edu/Modules/ShowDocument.aspx?documentid=16607" TargetMode="External"/><Relationship Id="rId36" Type="http://schemas.openxmlformats.org/officeDocument/2006/relationships/hyperlink" Target="http://www.glendale.edu/modules/ShowDocument.aspx?documentid=14862" TargetMode="External"/><Relationship Id="rId49" Type="http://schemas.openxmlformats.org/officeDocument/2006/relationships/hyperlink" Target="http://www.glendale.edu/Modules/ShowDocument.aspx?documentid=14087" TargetMode="External"/><Relationship Id="rId57" Type="http://schemas.openxmlformats.org/officeDocument/2006/relationships/hyperlink" Target="http://www.glendale.edu/modules/ShowDocument.aspx?documentid=17747"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lendale.edu/Modules/ShowDocument.aspx?documentid=16925" TargetMode="External"/><Relationship Id="rId31" Type="http://schemas.openxmlformats.org/officeDocument/2006/relationships/hyperlink" Target="http://www.glendale.edu/Modules/ShowDocument.aspx?documentid=17696" TargetMode="External"/><Relationship Id="rId44" Type="http://schemas.openxmlformats.org/officeDocument/2006/relationships/hyperlink" Target="http://www.glendale.edu/modules/showdocument.aspx?documentid=17752" TargetMode="External"/><Relationship Id="rId52" Type="http://schemas.openxmlformats.org/officeDocument/2006/relationships/hyperlink" Target="http://www.glendale.edu/modules/showdocument.aspx?documentid=1772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glendale.edu/Modules/ShowDocument.aspx?documentid=16929" TargetMode="External"/><Relationship Id="rId22" Type="http://schemas.openxmlformats.org/officeDocument/2006/relationships/hyperlink" Target="http://www.glendale.edu/index.aspx?page=5686&amp;parent=15971" TargetMode="External"/><Relationship Id="rId27" Type="http://schemas.openxmlformats.org/officeDocument/2006/relationships/hyperlink" Target="http://www.glendale.edu/Modules/ShowDocument.aspx?documentid=14681" TargetMode="External"/><Relationship Id="rId30" Type="http://schemas.openxmlformats.org/officeDocument/2006/relationships/hyperlink" Target="http://www.glendale.edu/Modules/ShowDocument.aspx?documentid=17695" TargetMode="External"/><Relationship Id="rId35" Type="http://schemas.openxmlformats.org/officeDocument/2006/relationships/hyperlink" Target="http://www.glendale.edu/Modules/ShowDocument.aspx?documentid=17697" TargetMode="External"/><Relationship Id="rId43" Type="http://schemas.openxmlformats.org/officeDocument/2006/relationships/hyperlink" Target="http://www.glendale.edu/modules/showdocument.aspx?documentid=17725" TargetMode="External"/><Relationship Id="rId48" Type="http://schemas.openxmlformats.org/officeDocument/2006/relationships/hyperlink" Target="http://www.glendale.edu/Modules/ShowDocument.aspx?documentid=5097" TargetMode="External"/><Relationship Id="rId56" Type="http://schemas.openxmlformats.org/officeDocument/2006/relationships/hyperlink" Target="http://www.glendale.edu/modules/ShowDocument.aspx?documentid=17746" TargetMode="External"/><Relationship Id="rId8" Type="http://schemas.openxmlformats.org/officeDocument/2006/relationships/footer" Target="footer1.xml"/><Relationship Id="rId51" Type="http://schemas.openxmlformats.org/officeDocument/2006/relationships/hyperlink" Target="http://www.glendale.edu/modules/showdocument.aspx?documentid=17506" TargetMode="Externa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http://www.glendale.edu/Modules/ShowDocument.aspx?documentid=16387" TargetMode="External"/><Relationship Id="rId25" Type="http://schemas.openxmlformats.org/officeDocument/2006/relationships/hyperlink" Target="http://www.glendale.edu/Modules/ShowDocument.aspx?documentid=14978" TargetMode="External"/><Relationship Id="rId33" Type="http://schemas.openxmlformats.org/officeDocument/2006/relationships/hyperlink" Target="http://www.glendale.edu/Modules/ShowDocument.aspx?documentid=17720" TargetMode="External"/><Relationship Id="rId38" Type="http://schemas.openxmlformats.org/officeDocument/2006/relationships/hyperlink" Target="http://www.glendale.edu/index.aspx?page=5" TargetMode="External"/><Relationship Id="rId46" Type="http://schemas.openxmlformats.org/officeDocument/2006/relationships/hyperlink" Target="http://www.glendale.edu/Modules/ShowDocument.aspx?documentid=2692" TargetMode="External"/><Relationship Id="rId59" Type="http://schemas.openxmlformats.org/officeDocument/2006/relationships/hyperlink" Target="http://www.glendale.edu/Modules/ShowDocument.aspx?documentid=17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12699</Words>
  <Characters>72385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Accreditation Midterm Report 2013.docx</vt:lpstr>
    </vt:vector>
  </TitlesOfParts>
  <Company>GCC</Company>
  <LinksUpToDate>false</LinksUpToDate>
  <CharactersWithSpaces>84915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Midterm Report 2013.docx</dc:title>
  <cp:lastModifiedBy> Jill Lewis</cp:lastModifiedBy>
  <cp:revision>4</cp:revision>
  <cp:lastPrinted>2013-03-13T17:07:00Z</cp:lastPrinted>
  <dcterms:created xsi:type="dcterms:W3CDTF">2013-03-13T16:37:00Z</dcterms:created>
  <dcterms:modified xsi:type="dcterms:W3CDTF">2013-03-13T17:19:00Z</dcterms:modified>
</cp:coreProperties>
</file>